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360" w:after="400"/>
      </w:pPr>
      <w:r>
        <w:rPr>
          <w:rFonts w:ascii="Calibri" w:hAnsi="Calibri"/>
          <w:b/>
          <w:color w:val="2E74B5"/>
          <w:sz w:val="18"/>
        </w:rPr>
        <w:t>JUSTICE, SAFETY AND PUBLIC VALUE</w:t>
      </w:r>
    </w:p>
    <w:p>
      <w:pPr>
        <w:spacing w:after="240"/>
      </w:pPr>
      <w:r>
        <w:rPr>
          <w:rFonts w:ascii="Calibri" w:hAnsi="Calibri"/>
          <w:b/>
          <w:color w:val="1F4D78"/>
          <w:sz w:val="60"/>
        </w:rPr>
        <w:t>Community Custody First</w:t>
      </w:r>
    </w:p>
    <w:p>
      <w:pPr>
        <w:spacing w:after="360"/>
      </w:pPr>
      <w:r>
        <w:rPr>
          <w:rFonts w:ascii="Calibri" w:hAnsi="Calibri"/>
          <w:color w:val="617285"/>
          <w:sz w:val="30"/>
        </w:rPr>
        <w:t>A safer, less costly alternative to routine incarceration in British Columbia and Canada</w:t>
      </w:r>
    </w:p>
    <w:tbl>
      <w:tblPr>
        <w:tblW w:type="auto" w:w="0"/>
        <w:jc w:val="left"/>
        <w:tblLayout w:type="fixed"/>
        <w:tblLook w:firstColumn="1" w:firstRow="1" w:lastColumn="0" w:lastRow="0" w:noHBand="0" w:noVBand="1" w:val="04A0"/>
      </w:tblPr>
      <w:tblGrid>
        <w:gridCol w:w="9360"/>
      </w:tblGrid>
      <w:tr>
        <w:tc>
          <w:tcPr>
            <w:tcW w:type="dxa" w:w="9360"/>
            <w:shd w:fill="2E74B5"/>
            <w:tcMar>
              <w:top w:w="0" w:type="dxa"/>
              <w:start w:w="0" w:type="dxa"/>
              <w:bottom w:w="0" w:type="dxa"/>
              <w:end w:w="0" w:type="dxa"/>
            </w:tcMar>
          </w:tcPr>
          <w:p/>
        </w:tc>
      </w:tr>
    </w:tbl>
    <w:p>
      <w:pPr>
        <w:spacing w:before="360" w:after="360"/>
      </w:pPr>
      <w:r>
        <w:rPr>
          <w:rFonts w:ascii="Calibri" w:hAnsi="Calibri"/>
          <w:b/>
          <w:color w:val="243447"/>
          <w:sz w:val="26"/>
        </w:rPr>
        <w:t>Use prison as the reserve for risks that cannot be managed in the community—and make tightly supervised community custody the presumptive option for eligible people.</w:t>
      </w:r>
    </w:p>
    <w:tbl>
      <w:tblPr>
        <w:tblW w:type="auto" w:w="0"/>
        <w:jc w:val="left"/>
        <w:tblLayout w:type="fixed"/>
        <w:tblLook w:firstColumn="1" w:firstRow="1" w:lastColumn="0" w:lastRow="0" w:noHBand="0" w:noVBand="1" w:val="04A0"/>
      </w:tblPr>
      <w:tblGrid>
        <w:gridCol w:w="3120"/>
        <w:gridCol w:w="3120"/>
        <w:gridCol w:w="3120"/>
      </w:tblGrid>
      <w:tr>
        <w:tc>
          <w:tcPr>
            <w:tcW w:type="dxa" w:w="3120"/>
            <w:shd w:fill="EAF2F8"/>
            <w:tcMar>
              <w:top w:w="160" w:type="dxa"/>
              <w:start w:w="160" w:type="dxa"/>
              <w:bottom w:w="150" w:type="dxa"/>
              <w:end w:w="160" w:type="dxa"/>
            </w:tcMar>
            <w:vAlign w:val="center"/>
          </w:tcPr>
          <w:p>
            <w:pPr>
              <w:spacing w:after="60"/>
              <w:jc w:val="left"/>
            </w:pPr>
            <w:r>
              <w:rPr>
                <w:rFonts w:ascii="Calibri" w:hAnsi="Calibri"/>
                <w:b/>
                <w:color w:val="1F4D78"/>
                <w:sz w:val="36"/>
              </w:rPr>
              <w:t>$6.75B</w:t>
            </w:r>
          </w:p>
          <w:p>
            <w:pPr>
              <w:spacing w:after="0"/>
            </w:pPr>
            <w:r>
              <w:rPr>
                <w:rFonts w:ascii="Calibri" w:hAnsi="Calibri"/>
                <w:color w:val="617285"/>
                <w:sz w:val="17"/>
              </w:rPr>
              <w:t>Adult-corrections operating spending in Canada, 2023/24 [6]</w:t>
            </w:r>
          </w:p>
        </w:tc>
        <w:tc>
          <w:tcPr>
            <w:tcW w:type="dxa" w:w="3120"/>
            <w:shd w:fill="F4F6F9"/>
            <w:tcMar>
              <w:top w:w="160" w:type="dxa"/>
              <w:start w:w="160" w:type="dxa"/>
              <w:bottom w:w="150" w:type="dxa"/>
              <w:end w:w="160" w:type="dxa"/>
            </w:tcMar>
            <w:vAlign w:val="center"/>
          </w:tcPr>
          <w:p>
            <w:pPr>
              <w:spacing w:after="60"/>
              <w:jc w:val="left"/>
            </w:pPr>
            <w:r>
              <w:rPr>
                <w:rFonts w:ascii="Calibri" w:hAnsi="Calibri"/>
                <w:b/>
                <w:color w:val="1F4D78"/>
                <w:sz w:val="36"/>
              </w:rPr>
              <w:t>76%</w:t>
            </w:r>
          </w:p>
          <w:p>
            <w:pPr>
              <w:spacing w:after="0"/>
            </w:pPr>
            <w:r>
              <w:rPr>
                <w:rFonts w:ascii="Calibri" w:hAnsi="Calibri"/>
                <w:color w:val="617285"/>
                <w:sz w:val="17"/>
              </w:rPr>
              <w:t>Share of B.C. actual-in custody held on remand, 2023/24 [7]</w:t>
            </w:r>
          </w:p>
        </w:tc>
        <w:tc>
          <w:tcPr>
            <w:tcW w:type="dxa" w:w="3120"/>
            <w:shd w:fill="EAF2F8"/>
            <w:tcMar>
              <w:top w:w="160" w:type="dxa"/>
              <w:start w:w="160" w:type="dxa"/>
              <w:bottom w:w="150" w:type="dxa"/>
              <w:end w:w="160" w:type="dxa"/>
            </w:tcMar>
            <w:vAlign w:val="center"/>
          </w:tcPr>
          <w:p>
            <w:pPr>
              <w:spacing w:after="60"/>
              <w:jc w:val="left"/>
            </w:pPr>
            <w:r>
              <w:rPr>
                <w:rFonts w:ascii="Calibri" w:hAnsi="Calibri"/>
                <w:b/>
                <w:color w:val="1F4D78"/>
                <w:sz w:val="36"/>
              </w:rPr>
              <w:t>$156,744</w:t>
            </w:r>
          </w:p>
          <w:p>
            <w:pPr>
              <w:spacing w:after="0"/>
            </w:pPr>
            <w:r>
              <w:rPr>
                <w:rFonts w:ascii="Calibri" w:hAnsi="Calibri"/>
                <w:color w:val="617285"/>
                <w:sz w:val="17"/>
              </w:rPr>
              <w:t>Federal custody cost per person, 2022/23 [8]</w:t>
            </w:r>
          </w:p>
        </w:tc>
      </w:tr>
    </w:tbl>
    <w:p>
      <w:pPr>
        <w:spacing w:before="520" w:after="80"/>
      </w:pPr>
      <w:r>
        <w:rPr>
          <w:rFonts w:ascii="Calibri" w:hAnsi="Calibri"/>
          <w:b/>
          <w:color w:val="2E74B5"/>
          <w:sz w:val="18"/>
        </w:rPr>
        <w:t>POLICY WHITE PAPER</w:t>
      </w:r>
    </w:p>
    <w:p>
      <w:pPr>
        <w:spacing w:after="0"/>
      </w:pPr>
      <w:r>
        <w:rPr>
          <w:rFonts w:ascii="Calibri" w:hAnsi="Calibri"/>
          <w:color w:val="617285"/>
          <w:sz w:val="18"/>
        </w:rPr>
        <w:t>August 2026  |  British Columbia / Canada</w:t>
      </w:r>
    </w:p>
    <w:p>
      <w:pPr>
        <w:spacing w:before="240" w:after="0"/>
      </w:pPr>
      <w:r>
        <w:rPr>
          <w:rFonts w:ascii="Calibri" w:hAnsi="Calibri"/>
          <w:i/>
          <w:color w:val="617285"/>
          <w:sz w:val="16"/>
        </w:rPr>
        <w:t>For public-policy discussion. This paper is not legal advice and does not assess any named individual or pending case.</w:t>
      </w:r>
    </w:p>
    <w:p>
      <w:r>
        <w:br w:type="page"/>
      </w:r>
    </w:p>
    <w:p>
      <w:pPr>
        <w:pStyle w:val="Heading1"/>
      </w:pPr>
      <w:r>
        <w:t>Executive summary</w:t>
      </w:r>
    </w:p>
    <w:p>
      <w:r>
        <w:t>The central policy judgment is not whether prison should disappear. It is whether Canada should keep buying the most disruptive and expensive form of control when a person’s risk can be managed through enforceable restrictions in the community. For many accused and sentenced people, a well-designed community-custody order can preserve work, housing, caregiving, treatment and restitution while protecting potential victims through exclusion zones, route controls, no-contact conditions and rapid response.</w:t>
      </w:r>
    </w:p>
    <w:p>
      <w:r>
        <w:t>The fiscal case is substantial. Statistics Canada reported $6.755 billion in adult-corrections operating expenditures in 2023/24: $3.559 billion by provinces and territories and $3.196 billion federally. Explicit custody spending was $4.855 billion, compared with $662 million for community supervision. These figures do not include police, courts, prosecution, legal aid or most capital costs. [6]</w:t>
      </w:r>
    </w:p>
    <w:p>
      <w:r>
        <w:t>The B.C. case is especially tied to pretrial detention. Average actual-in custody in 2023/24 was 1,833 people; 1,397 were in remand, or 76.2%. Only 431 were serving sentences. [7] A strategy focused only on post-conviction sentences will therefore miss most occupied jail beds. Bail, remand review and speed to trial must be part of the same reform.</w:t>
      </w:r>
    </w:p>
    <w:p>
      <w:r>
        <w:t>The empirical record does not support a general claim that short imprisonment rehabilitates better than non-custodial sanctions. A 2021 meta-analysis of 116 studies found no reduction in reoffending from custodial sanctions and a small average increase relative to non-custodial alternatives; higher-quality causal estimates tend toward no advantage for custody. [13] A Campbell review similarly found no clear benefit in its strongest studies. [14] Electronic-monitoring evidence is more mixed: reviews and a Canadian pilot show promising outcomes in some settings, but effects vary and observational studies can overstate benefits. [15–17]</w:t>
      </w:r>
    </w:p>
    <w:tbl>
      <w:tblPr>
        <w:tblW w:type="auto" w:w="0"/>
        <w:jc w:val="left"/>
        <w:tblLayout w:type="fixed"/>
        <w:tblLook w:firstColumn="1" w:firstRow="1" w:lastColumn="0" w:lastRow="0" w:noHBand="0" w:noVBand="1" w:val="04A0"/>
      </w:tblPr>
      <w:tblGrid>
        <w:gridCol w:w="9360"/>
      </w:tblGrid>
      <w:tr>
        <w:tc>
          <w:tcPr>
            <w:tcW w:type="dxa" w:w="9360"/>
            <w:shd w:fill="EAF2F8"/>
            <w:tcMar>
              <w:top w:w="150" w:type="dxa"/>
              <w:start w:w="180" w:type="dxa"/>
              <w:bottom w:w="150" w:type="dxa"/>
              <w:end w:w="180" w:type="dxa"/>
            </w:tcMar>
            <w:tcBorders>
              <w:start w:val="single" w:sz="18" w:color="2E74B5"/>
            </w:tcBorders>
          </w:tcPr>
          <w:p>
            <w:pPr>
              <w:spacing w:after="80"/>
            </w:pPr>
            <w:r>
              <w:rPr>
                <w:rFonts w:ascii="Calibri" w:hAnsi="Calibri"/>
                <w:b/>
                <w:color w:val="2E74B5"/>
                <w:sz w:val="20"/>
              </w:rPr>
              <w:t>Recommendation in one sentence</w:t>
            </w:r>
          </w:p>
          <w:p>
            <w:pPr>
              <w:spacing w:after="0"/>
            </w:pPr>
            <w:r>
              <w:rPr>
                <w:rFonts w:ascii="Calibri" w:hAnsi="Calibri"/>
                <w:color w:val="243447"/>
                <w:sz w:val="20"/>
              </w:rPr>
              <w:t>Adopt a statutory and operational presumption of community custody for eligible low- and moderate-risk cases, backed by housing, work and treatment supports, victim-centred geofencing, 24/7 response, and strict safeguards against using GPS where ordinary bail or probation would have been enough.</w:t>
            </w:r>
          </w:p>
        </w:tc>
      </w:tr>
    </w:tbl>
    <w:p>
      <w:pPr>
        <w:pStyle w:val="Heading2"/>
      </w:pPr>
      <w:r>
        <w:t>Immediate policy decisions</w:t>
      </w:r>
    </w:p>
    <w:p>
      <w:pPr>
        <w:pStyle w:val="ListBullet"/>
      </w:pPr>
      <w:r>
        <w:t>Set an eligibility presumption, not an entitlement: prison remains available for risks that cannot be safely managed, serious witness interference, repeated violent breaches, or sentences legally excluded from conditional custody.</w:t>
      </w:r>
    </w:p>
    <w:p>
      <w:pPr>
        <w:pStyle w:val="ListBullet"/>
      </w:pPr>
      <w:r>
        <w:t>Fund one integrated community-custody service: assessment, device operations, housing, treatment, employment routes, victim liaison and a graded response team.</w:t>
      </w:r>
    </w:p>
    <w:p>
      <w:pPr>
        <w:pStyle w:val="ListBullet"/>
      </w:pPr>
      <w:r>
        <w:t>Require GPS only where it replaces detention, jail or a more restrictive residence; publish a net-widening audit every year.</w:t>
      </w:r>
    </w:p>
    <w:p>
      <w:pPr>
        <w:pStyle w:val="ListBullet"/>
      </w:pPr>
      <w:r>
        <w:t>Make victim safety operational: exclusion zones, no-contact rules, optional dynamic geofencing, immediate priority alerts and a clear emergency plan—without promising that a bracelet is a physical barrier.</w:t>
      </w:r>
    </w:p>
    <w:p>
      <w:pPr>
        <w:pStyle w:val="ListBullet"/>
      </w:pPr>
      <w:r>
        <w:t>Measure serious harm, victim-reported safety, breaches, employment, housing, family continuity, cost shifting and subgroup disparities, not just device compliance.</w:t>
      </w:r>
    </w:p>
    <w:p>
      <w:pPr>
        <w:pStyle w:val="Heading1"/>
      </w:pPr>
      <w:r>
        <w:t>Contents</w:t>
      </w:r>
    </w:p>
    <w:tbl>
      <w:tblPr>
        <w:tblW w:type="auto" w:w="0"/>
        <w:jc w:val="left"/>
        <w:tblLayout w:type="fixed"/>
        <w:tblLook w:firstColumn="1" w:firstRow="1" w:lastColumn="0" w:lastRow="0" w:noHBand="0" w:noVBand="1" w:val="04A0"/>
      </w:tblPr>
      <w:tblGrid>
        <w:gridCol w:w="9360"/>
      </w:tblGrid>
      <w:tr>
        <w:tc>
          <w:tcPr>
            <w:tcW w:type="dxa" w:w="9360"/>
            <w:tcMar>
              <w:top w:w="70" w:type="dxa"/>
              <w:start w:w="30" w:type="dxa"/>
              <w:bottom w:w="70" w:type="dxa"/>
              <w:end w:w="30" w:type="dxa"/>
            </w:tcMar>
          </w:tcPr>
          <w:p>
            <w:pPr>
              <w:spacing w:after="0"/>
            </w:pPr>
            <w:r>
              <w:rPr>
                <w:rFonts w:ascii="Calibri" w:hAnsi="Calibri"/>
                <w:b/>
                <w:color w:val="2E74B5"/>
                <w:sz w:val="18"/>
              </w:rPr>
              <w:t xml:space="preserve">01   </w:t>
            </w:r>
            <w:r>
              <w:rPr>
                <w:rFonts w:ascii="Calibri" w:hAnsi="Calibri"/>
                <w:color w:val="243447"/>
                <w:sz w:val="20"/>
              </w:rPr>
              <w:t>The policy problem and the legal opening</w:t>
            </w:r>
          </w:p>
        </w:tc>
      </w:tr>
      <w:tr>
        <w:tc>
          <w:tcPr>
            <w:tcW w:type="dxa" w:w="9360"/>
            <w:tcMar>
              <w:top w:w="70" w:type="dxa"/>
              <w:start w:w="30" w:type="dxa"/>
              <w:bottom w:w="70" w:type="dxa"/>
              <w:end w:w="30" w:type="dxa"/>
            </w:tcMar>
            <w:shd w:fill="F4F6F9"/>
          </w:tcPr>
          <w:p>
            <w:pPr>
              <w:spacing w:after="0"/>
            </w:pPr>
            <w:r>
              <w:rPr>
                <w:rFonts w:ascii="Calibri" w:hAnsi="Calibri"/>
                <w:b/>
                <w:color w:val="2E74B5"/>
                <w:sz w:val="18"/>
              </w:rPr>
              <w:t xml:space="preserve">02   </w:t>
            </w:r>
            <w:r>
              <w:rPr>
                <w:rFonts w:ascii="Calibri" w:hAnsi="Calibri"/>
                <w:color w:val="243447"/>
                <w:sz w:val="20"/>
              </w:rPr>
              <w:t>What Canada and B.C. spend</w:t>
            </w:r>
          </w:p>
        </w:tc>
      </w:tr>
      <w:tr>
        <w:tc>
          <w:tcPr>
            <w:tcW w:type="dxa" w:w="9360"/>
            <w:tcMar>
              <w:top w:w="70" w:type="dxa"/>
              <w:start w:w="30" w:type="dxa"/>
              <w:bottom w:w="70" w:type="dxa"/>
              <w:end w:w="30" w:type="dxa"/>
            </w:tcMar>
          </w:tcPr>
          <w:p>
            <w:pPr>
              <w:spacing w:after="0"/>
            </w:pPr>
            <w:r>
              <w:rPr>
                <w:rFonts w:ascii="Calibri" w:hAnsi="Calibri"/>
                <w:b/>
                <w:color w:val="2E74B5"/>
                <w:sz w:val="18"/>
              </w:rPr>
              <w:t xml:space="preserve">03   </w:t>
            </w:r>
            <w:r>
              <w:rPr>
                <w:rFonts w:ascii="Calibri" w:hAnsi="Calibri"/>
                <w:color w:val="243447"/>
                <w:sz w:val="20"/>
              </w:rPr>
              <w:t>What the evidence says about outcomes</w:t>
            </w:r>
          </w:p>
        </w:tc>
      </w:tr>
      <w:tr>
        <w:tc>
          <w:tcPr>
            <w:tcW w:type="dxa" w:w="9360"/>
            <w:tcMar>
              <w:top w:w="70" w:type="dxa"/>
              <w:start w:w="30" w:type="dxa"/>
              <w:bottom w:w="70" w:type="dxa"/>
              <w:end w:w="30" w:type="dxa"/>
            </w:tcMar>
            <w:shd w:fill="F4F6F9"/>
          </w:tcPr>
          <w:p>
            <w:pPr>
              <w:spacing w:after="0"/>
            </w:pPr>
            <w:r>
              <w:rPr>
                <w:rFonts w:ascii="Calibri" w:hAnsi="Calibri"/>
                <w:b/>
                <w:color w:val="2E74B5"/>
                <w:sz w:val="18"/>
              </w:rPr>
              <w:t xml:space="preserve">04   </w:t>
            </w:r>
            <w:r>
              <w:rPr>
                <w:rFonts w:ascii="Calibri" w:hAnsi="Calibri"/>
                <w:color w:val="243447"/>
                <w:sz w:val="20"/>
              </w:rPr>
              <w:t>A victim-centred community-custody model</w:t>
            </w:r>
          </w:p>
        </w:tc>
      </w:tr>
      <w:tr>
        <w:tc>
          <w:tcPr>
            <w:tcW w:type="dxa" w:w="9360"/>
            <w:tcMar>
              <w:top w:w="70" w:type="dxa"/>
              <w:start w:w="30" w:type="dxa"/>
              <w:bottom w:w="70" w:type="dxa"/>
              <w:end w:w="30" w:type="dxa"/>
            </w:tcMar>
          </w:tcPr>
          <w:p>
            <w:pPr>
              <w:spacing w:after="0"/>
            </w:pPr>
            <w:r>
              <w:rPr>
                <w:rFonts w:ascii="Calibri" w:hAnsi="Calibri"/>
                <w:b/>
                <w:color w:val="2E74B5"/>
                <w:sz w:val="18"/>
              </w:rPr>
              <w:t xml:space="preserve">05   </w:t>
            </w:r>
            <w:r>
              <w:rPr>
                <w:rFonts w:ascii="Calibri" w:hAnsi="Calibri"/>
                <w:color w:val="243447"/>
                <w:sz w:val="20"/>
              </w:rPr>
              <w:t>Eligibility, proportionality and due process</w:t>
            </w:r>
          </w:p>
        </w:tc>
      </w:tr>
      <w:tr>
        <w:tc>
          <w:tcPr>
            <w:tcW w:type="dxa" w:w="9360"/>
            <w:tcMar>
              <w:top w:w="70" w:type="dxa"/>
              <w:start w:w="30" w:type="dxa"/>
              <w:bottom w:w="70" w:type="dxa"/>
              <w:end w:w="30" w:type="dxa"/>
            </w:tcMar>
            <w:shd w:fill="F4F6F9"/>
          </w:tcPr>
          <w:p>
            <w:pPr>
              <w:spacing w:after="0"/>
            </w:pPr>
            <w:r>
              <w:rPr>
                <w:rFonts w:ascii="Calibri" w:hAnsi="Calibri"/>
                <w:b/>
                <w:color w:val="2E74B5"/>
                <w:sz w:val="18"/>
              </w:rPr>
              <w:t xml:space="preserve">06   </w:t>
            </w:r>
            <w:r>
              <w:rPr>
                <w:rFonts w:ascii="Calibri" w:hAnsi="Calibri"/>
                <w:color w:val="243447"/>
                <w:sz w:val="20"/>
              </w:rPr>
              <w:t>Implementation, economics and evaluation</w:t>
            </w:r>
          </w:p>
        </w:tc>
      </w:tr>
      <w:tr>
        <w:tc>
          <w:tcPr>
            <w:tcW w:type="dxa" w:w="9360"/>
            <w:tcMar>
              <w:top w:w="70" w:type="dxa"/>
              <w:start w:w="30" w:type="dxa"/>
              <w:bottom w:w="70" w:type="dxa"/>
              <w:end w:w="30" w:type="dxa"/>
            </w:tcMar>
          </w:tcPr>
          <w:p>
            <w:pPr>
              <w:spacing w:after="0"/>
            </w:pPr>
            <w:r>
              <w:rPr>
                <w:rFonts w:ascii="Calibri" w:hAnsi="Calibri"/>
                <w:b/>
                <w:color w:val="2E74B5"/>
                <w:sz w:val="18"/>
              </w:rPr>
              <w:t xml:space="preserve">07   </w:t>
            </w:r>
            <w:r>
              <w:rPr>
                <w:rFonts w:ascii="Calibri" w:hAnsi="Calibri"/>
                <w:color w:val="243447"/>
                <w:sz w:val="20"/>
              </w:rPr>
              <w:t>Recommendations and next questions</w:t>
            </w:r>
          </w:p>
        </w:tc>
      </w:tr>
      <w:tr>
        <w:tc>
          <w:tcPr>
            <w:tcW w:type="dxa" w:w="9360"/>
            <w:tcMar>
              <w:top w:w="70" w:type="dxa"/>
              <w:start w:w="30" w:type="dxa"/>
              <w:bottom w:w="70" w:type="dxa"/>
              <w:end w:w="30" w:type="dxa"/>
            </w:tcMar>
            <w:shd w:fill="F4F6F9"/>
          </w:tcPr>
          <w:p>
            <w:pPr>
              <w:spacing w:after="0"/>
            </w:pPr>
            <w:r>
              <w:rPr>
                <w:rFonts w:ascii="Calibri" w:hAnsi="Calibri"/>
                <w:b/>
                <w:color w:val="2E74B5"/>
                <w:sz w:val="18"/>
              </w:rPr>
              <w:t xml:space="preserve">08   </w:t>
            </w:r>
            <w:r>
              <w:rPr>
                <w:rFonts w:ascii="Calibri" w:hAnsi="Calibri"/>
                <w:color w:val="243447"/>
                <w:sz w:val="20"/>
              </w:rPr>
              <w:t>Caveats and sources</w:t>
            </w:r>
          </w:p>
        </w:tc>
      </w:tr>
    </w:tbl>
    <w:p>
      <w:pPr>
        <w:pStyle w:val="Heading2"/>
      </w:pPr>
      <w:r>
        <w:t>Purpose and method</w:t>
      </w:r>
    </w:p>
    <w:p>
      <w:r>
        <w:t>This paper synthesizes current Canadian legal authorities, 2023/24 corrections data, 2024/25 departmental accounts and peer-reviewed evidence. Cost systems use different scopes and years; the paper therefore separates audited totals, standardized national data and indicative per-person comparisons. It does not assess any individual’s risk or propose a universal substitute for judicial judgment.</w:t>
      </w:r>
    </w:p>
    <w:tbl>
      <w:tblPr>
        <w:tblW w:type="auto" w:w="0"/>
        <w:jc w:val="left"/>
        <w:tblLayout w:type="fixed"/>
        <w:tblLook w:firstColumn="1" w:firstRow="1" w:lastColumn="0" w:lastRow="0" w:noHBand="0" w:noVBand="1" w:val="04A0"/>
      </w:tblPr>
      <w:tblGrid>
        <w:gridCol w:w="3120"/>
        <w:gridCol w:w="3120"/>
        <w:gridCol w:w="3120"/>
      </w:tblGrid>
      <w:tr>
        <w:tc>
          <w:tcPr>
            <w:tcW w:type="dxa" w:w="3120"/>
            <w:shd w:fill="EAF2F8"/>
            <w:tcMar>
              <w:top w:w="140" w:type="dxa"/>
              <w:start w:w="140" w:type="dxa"/>
              <w:bottom w:w="140" w:type="dxa"/>
              <w:end w:w="140" w:type="dxa"/>
            </w:tcMar>
          </w:tcPr>
          <w:p>
            <w:pPr>
              <w:spacing w:after="40"/>
            </w:pPr>
            <w:r>
              <w:rPr>
                <w:rFonts w:ascii="Calibri" w:hAnsi="Calibri"/>
                <w:b/>
                <w:color w:val="1F4D78"/>
                <w:sz w:val="34"/>
              </w:rPr>
              <w:t>1,833</w:t>
            </w:r>
          </w:p>
          <w:p>
            <w:pPr>
              <w:spacing w:after="40"/>
            </w:pPr>
            <w:r>
              <w:rPr>
                <w:rFonts w:ascii="Calibri" w:hAnsi="Calibri"/>
                <w:b/>
                <w:color w:val="243447"/>
                <w:sz w:val="17"/>
              </w:rPr>
              <w:t>B.C. actual-in custody</w:t>
            </w:r>
          </w:p>
          <w:p>
            <w:pPr>
              <w:spacing w:after="0"/>
            </w:pPr>
            <w:r>
              <w:rPr>
                <w:rFonts w:ascii="Calibri" w:hAnsi="Calibri"/>
                <w:color w:val="617285"/>
                <w:sz w:val="15"/>
              </w:rPr>
              <w:t>Average daily count, 2023/24 [7]</w:t>
            </w:r>
          </w:p>
        </w:tc>
        <w:tc>
          <w:tcPr>
            <w:tcW w:type="dxa" w:w="3120"/>
            <w:shd w:fill="F4F6F9"/>
            <w:tcMar>
              <w:top w:w="140" w:type="dxa"/>
              <w:start w:w="140" w:type="dxa"/>
              <w:bottom w:w="140" w:type="dxa"/>
              <w:end w:w="140" w:type="dxa"/>
            </w:tcMar>
          </w:tcPr>
          <w:p>
            <w:pPr>
              <w:spacing w:after="40"/>
            </w:pPr>
            <w:r>
              <w:rPr>
                <w:rFonts w:ascii="Calibri" w:hAnsi="Calibri"/>
                <w:b/>
                <w:color w:val="1F4D78"/>
                <w:sz w:val="34"/>
              </w:rPr>
              <w:t>8,368</w:t>
            </w:r>
          </w:p>
          <w:p>
            <w:pPr>
              <w:spacing w:after="40"/>
            </w:pPr>
            <w:r>
              <w:rPr>
                <w:rFonts w:ascii="Calibri" w:hAnsi="Calibri"/>
                <w:b/>
                <w:color w:val="243447"/>
                <w:sz w:val="17"/>
              </w:rPr>
              <w:t>B.C. community supervision</w:t>
            </w:r>
          </w:p>
          <w:p>
            <w:pPr>
              <w:spacing w:after="0"/>
            </w:pPr>
            <w:r>
              <w:rPr>
                <w:rFonts w:ascii="Calibri" w:hAnsi="Calibri"/>
                <w:color w:val="617285"/>
                <w:sz w:val="15"/>
              </w:rPr>
              <w:t>Average count, 2023/24 [7]</w:t>
            </w:r>
          </w:p>
        </w:tc>
        <w:tc>
          <w:tcPr>
            <w:tcW w:type="dxa" w:w="3120"/>
            <w:shd w:fill="EAF2F8"/>
            <w:tcMar>
              <w:top w:w="140" w:type="dxa"/>
              <w:start w:w="140" w:type="dxa"/>
              <w:bottom w:w="140" w:type="dxa"/>
              <w:end w:w="140" w:type="dxa"/>
            </w:tcMar>
          </w:tcPr>
          <w:p>
            <w:pPr>
              <w:spacing w:after="40"/>
            </w:pPr>
            <w:r>
              <w:rPr>
                <w:rFonts w:ascii="Calibri" w:hAnsi="Calibri"/>
                <w:b/>
                <w:color w:val="1F4D78"/>
                <w:sz w:val="34"/>
              </w:rPr>
              <w:t>10</w:t>
            </w:r>
          </w:p>
          <w:p>
            <w:pPr>
              <w:spacing w:after="40"/>
            </w:pPr>
            <w:r>
              <w:rPr>
                <w:rFonts w:ascii="Calibri" w:hAnsi="Calibri"/>
                <w:b/>
                <w:color w:val="243447"/>
                <w:sz w:val="17"/>
              </w:rPr>
              <w:t>B.C. correctional centres</w:t>
            </w:r>
          </w:p>
          <w:p>
            <w:pPr>
              <w:spacing w:after="0"/>
            </w:pPr>
            <w:r>
              <w:rPr>
                <w:rFonts w:ascii="Calibri" w:hAnsi="Calibri"/>
                <w:color w:val="617285"/>
                <w:sz w:val="15"/>
              </w:rPr>
              <w:t>Government listing [12]</w:t>
            </w:r>
          </w:p>
        </w:tc>
      </w:tr>
    </w:tbl>
    <w:p>
      <w:r>
        <w:br w:type="page"/>
      </w:r>
    </w:p>
    <w:p>
      <w:pPr>
        <w:pStyle w:val="Heading1"/>
      </w:pPr>
      <w:r>
        <w:t>1. The policy problem and the legal opening</w:t>
      </w:r>
    </w:p>
    <w:p>
      <w:pPr>
        <w:pStyle w:val="Heading2"/>
      </w:pPr>
      <w:r>
        <w:t>Prison serves real purposes—but it is an indiscriminate instrument</w:t>
      </w:r>
    </w:p>
    <w:p>
      <w:r>
        <w:t>Canadian sentencing law recognizes denunciation, deterrence, separation from society where necessary, rehabilitation, reparation and responsibility. [1] Prison can physically separate a person from the public, provide a controlled setting for some programs and express society’s condemnation of grave conduct. It may be indispensable where violence, coercive control, escape risk or interference with witnesses cannot be managed outside a secure institution.</w:t>
      </w:r>
    </w:p>
    <w:p>
      <w:r>
        <w:t>Those strengths are also the source of prison’s collateral damage. Separation interrupts employment, rent, treatment, parenting and caregiving. It places people in an institutional peer environment and can expose them to violence, illicit drugs and trauma. On release, the person often faces a thinner résumé, weaker landlord references, accumulated debt and a record that narrows lawful opportunity. These effects are not incidental to reintegration; they are mechanisms that can undermine it.</w:t>
      </w:r>
    </w:p>
    <w:p>
      <w:pPr>
        <w:pStyle w:val="Heading2"/>
      </w:pPr>
      <w:r>
        <w:t>Canadian law already directs courts toward restraint</w:t>
      </w:r>
    </w:p>
    <w:p>
      <w:r>
        <w:t>Section 718.2 of the Criminal Code requires attention to less restrictive sanctions and all reasonable sanctions other than imprisonment, with particular attention to the circumstances of Indigenous offenders. [2] Conditional sentences allow a sentence of less than two years to be served in the community when statutory criteria are met, public safety is not endangered and the disposition is consistent with sentencing purposes; the Code permits house arrest, no-contact, geographic, treatment, abstinence, weapons and community-service conditions. [3]</w:t>
      </w:r>
    </w:p>
    <w:p>
      <w:r>
        <w:t>At the pretrial stage, the presumption of innocence and the ladder principle require the least onerous form of release that is adequate. The Code permits no-contact and geographic conditions and, in specified circumstances, electronic monitoring. [4–5] The policy gap is therefore not a lack of legal concepts. It is fragmented eligibility, uneven infrastructure and a tendency to fund secure beds more reliably than safe community control.</w:t>
      </w:r>
    </w:p>
    <w:tbl>
      <w:tblPr>
        <w:tblW w:type="auto" w:w="0"/>
        <w:jc w:val="left"/>
        <w:tblLayout w:type="fixed"/>
        <w:tblLook w:firstColumn="1" w:firstRow="1" w:lastColumn="0" w:lastRow="0" w:noHBand="0" w:noVBand="1" w:val="04A0"/>
      </w:tblPr>
      <w:tblGrid>
        <w:gridCol w:w="9360"/>
      </w:tblGrid>
      <w:tr>
        <w:tc>
          <w:tcPr>
            <w:tcW w:type="dxa" w:w="9360"/>
            <w:shd w:fill="F7F0DF"/>
            <w:tcMar>
              <w:top w:w="150" w:type="dxa"/>
              <w:start w:w="180" w:type="dxa"/>
              <w:bottom w:w="150" w:type="dxa"/>
              <w:end w:w="180" w:type="dxa"/>
            </w:tcMar>
            <w:tcBorders>
              <w:start w:val="single" w:sz="18" w:color="C89B3C"/>
            </w:tcBorders>
          </w:tcPr>
          <w:p>
            <w:pPr>
              <w:spacing w:after="80"/>
            </w:pPr>
            <w:r>
              <w:rPr>
                <w:rFonts w:ascii="Calibri" w:hAnsi="Calibri"/>
                <w:b/>
                <w:color w:val="C89B3C"/>
                <w:sz w:val="20"/>
              </w:rPr>
              <w:t>The strongest reform target</w:t>
            </w:r>
          </w:p>
          <w:p>
            <w:pPr>
              <w:spacing w:after="0"/>
            </w:pPr>
            <w:r>
              <w:rPr>
                <w:rFonts w:ascii="Calibri" w:hAnsi="Calibri"/>
                <w:color w:val="243447"/>
                <w:sz w:val="20"/>
              </w:rPr>
              <w:t>Because roughly three-quarters of B.C. jail custody is remand, the largest near-term opportunity is not only conditional sentencing. It is safe release, rapid bail review and faster adjudication for people who have not been convicted. [7]</w:t>
            </w:r>
          </w:p>
        </w:tc>
      </w:tr>
    </w:tbl>
    <w:p>
      <w:pPr>
        <w:pStyle w:val="Heading2"/>
      </w:pPr>
      <w:r>
        <w:t>Why GPS has not replaced prison</w:t>
      </w:r>
    </w:p>
    <w:tbl>
      <w:tblPr>
        <w:tblStyle w:val="TableGrid"/>
        <w:tblW w:type="auto" w:w="0"/>
        <w:jc w:val="left"/>
        <w:tblLayout w:type="fixed"/>
        <w:tblLook w:firstColumn="1" w:firstRow="1" w:lastColumn="0" w:lastRow="0" w:noHBand="0" w:noVBand="1" w:val="04A0"/>
      </w:tblPr>
      <w:tblGrid>
        <w:gridCol w:w="3120"/>
        <w:gridCol w:w="3120"/>
        <w:gridCol w:w="3120"/>
      </w:tblGrid>
      <w:tr>
        <w:trPr>
          <w:tblHeader w:val="true"/>
          <w:cantSplit/>
        </w:trPr>
        <w:tc>
          <w:tcPr>
            <w:tcW w:type="dxa" w:w="1800"/>
            <w:shd w:fill="F4F6F9"/>
            <w:tcMar>
              <w:top w:w="80" w:type="dxa"/>
              <w:start w:w="120" w:type="dxa"/>
              <w:bottom w:w="80" w:type="dxa"/>
              <w:end w:w="120" w:type="dxa"/>
            </w:tcMar>
            <w:vAlign w:val="center"/>
          </w:tcPr>
          <w:p>
            <w:pPr>
              <w:spacing w:after="0"/>
            </w:pPr>
            <w:r>
              <w:rPr>
                <w:rFonts w:ascii="Calibri" w:hAnsi="Calibri"/>
                <w:b/>
                <w:color w:val="1F4D78"/>
                <w:sz w:val="17"/>
              </w:rPr>
              <w:t>Constraint</w:t>
            </w:r>
          </w:p>
        </w:tc>
        <w:tc>
          <w:tcPr>
            <w:tcW w:type="dxa" w:w="3456"/>
            <w:shd w:fill="F4F6F9"/>
            <w:tcMar>
              <w:top w:w="80" w:type="dxa"/>
              <w:start w:w="120" w:type="dxa"/>
              <w:bottom w:w="80" w:type="dxa"/>
              <w:end w:w="120" w:type="dxa"/>
            </w:tcMar>
            <w:vAlign w:val="center"/>
          </w:tcPr>
          <w:p>
            <w:pPr>
              <w:spacing w:after="0"/>
            </w:pPr>
            <w:r>
              <w:rPr>
                <w:rFonts w:ascii="Calibri" w:hAnsi="Calibri"/>
                <w:b/>
                <w:color w:val="1F4D78"/>
                <w:sz w:val="17"/>
              </w:rPr>
              <w:t>Why it matters</w:t>
            </w:r>
          </w:p>
        </w:tc>
        <w:tc>
          <w:tcPr>
            <w:tcW w:type="dxa" w:w="4104"/>
            <w:shd w:fill="F4F6F9"/>
            <w:tcMar>
              <w:top w:w="80" w:type="dxa"/>
              <w:start w:w="120" w:type="dxa"/>
              <w:bottom w:w="80" w:type="dxa"/>
              <w:end w:w="120" w:type="dxa"/>
            </w:tcMar>
            <w:vAlign w:val="center"/>
          </w:tcPr>
          <w:p>
            <w:pPr>
              <w:spacing w:after="0"/>
            </w:pPr>
            <w:r>
              <w:rPr>
                <w:rFonts w:ascii="Calibri" w:hAnsi="Calibri"/>
                <w:b/>
                <w:color w:val="1F4D78"/>
                <w:sz w:val="17"/>
              </w:rPr>
              <w:t>Design response</w:t>
            </w:r>
          </w:p>
        </w:tc>
      </w:tr>
      <w:tr>
        <w:trPr>
          <w:cantSplit/>
        </w:trPr>
        <w:tc>
          <w:tcPr>
            <w:tcW w:type="dxa" w:w="1800"/>
            <w:tcMar>
              <w:top w:w="80" w:type="dxa"/>
              <w:start w:w="120" w:type="dxa"/>
              <w:bottom w:w="80" w:type="dxa"/>
              <w:end w:w="120" w:type="dxa"/>
            </w:tcMar>
            <w:vAlign w:val="top"/>
          </w:tcPr>
          <w:p>
            <w:pPr>
              <w:spacing w:after="0" w:line="259" w:lineRule="auto"/>
            </w:pPr>
            <w:r>
              <w:rPr>
                <w:rFonts w:ascii="Calibri" w:hAnsi="Calibri"/>
                <w:color w:val="243447"/>
                <w:sz w:val="17"/>
              </w:rPr>
              <w:t>Incapacitation</w:t>
            </w:r>
          </w:p>
        </w:tc>
        <w:tc>
          <w:tcPr>
            <w:tcW w:type="dxa" w:w="3456"/>
            <w:tcMar>
              <w:top w:w="80" w:type="dxa"/>
              <w:start w:w="120" w:type="dxa"/>
              <w:bottom w:w="80" w:type="dxa"/>
              <w:end w:w="120" w:type="dxa"/>
            </w:tcMar>
            <w:vAlign w:val="top"/>
          </w:tcPr>
          <w:p>
            <w:pPr>
              <w:spacing w:after="0" w:line="259" w:lineRule="auto"/>
            </w:pPr>
            <w:r>
              <w:rPr>
                <w:rFonts w:ascii="Calibri" w:hAnsi="Calibri"/>
                <w:color w:val="243447"/>
                <w:sz w:val="17"/>
              </w:rPr>
              <w:t>GPS detects location; it does not physically stop an assault, threat, weapon acquisition or third-party contact.</w:t>
            </w:r>
          </w:p>
        </w:tc>
        <w:tc>
          <w:tcPr>
            <w:tcW w:type="dxa" w:w="4104"/>
            <w:tcMar>
              <w:top w:w="80" w:type="dxa"/>
              <w:start w:w="120" w:type="dxa"/>
              <w:bottom w:w="80" w:type="dxa"/>
              <w:end w:w="120" w:type="dxa"/>
            </w:tcMar>
            <w:vAlign w:val="top"/>
          </w:tcPr>
          <w:p>
            <w:pPr>
              <w:spacing w:after="0" w:line="259" w:lineRule="auto"/>
            </w:pPr>
            <w:r>
              <w:rPr>
                <w:rFonts w:ascii="Calibri" w:hAnsi="Calibri"/>
                <w:color w:val="243447"/>
                <w:sz w:val="17"/>
              </w:rPr>
              <w:t>Reserve prison for risks that cannot be managed; pair monitoring with response teams and victim safety planning.</w:t>
            </w:r>
          </w:p>
        </w:tc>
      </w:tr>
      <w:tr>
        <w:trPr>
          <w:cantSplit/>
        </w:trPr>
        <w:tc>
          <w:tcPr>
            <w:tcW w:type="dxa" w:w="1800"/>
            <w:tcMar>
              <w:top w:w="80" w:type="dxa"/>
              <w:start w:w="120" w:type="dxa"/>
              <w:bottom w:w="80" w:type="dxa"/>
              <w:end w:w="120" w:type="dxa"/>
            </w:tcMar>
            <w:vAlign w:val="top"/>
          </w:tcPr>
          <w:p>
            <w:pPr>
              <w:spacing w:after="0" w:line="259" w:lineRule="auto"/>
            </w:pPr>
            <w:r>
              <w:rPr>
                <w:rFonts w:ascii="Calibri" w:hAnsi="Calibri"/>
                <w:color w:val="243447"/>
                <w:sz w:val="17"/>
              </w:rPr>
              <w:t>Housing</w:t>
            </w:r>
          </w:p>
        </w:tc>
        <w:tc>
          <w:tcPr>
            <w:tcW w:type="dxa" w:w="3456"/>
            <w:tcMar>
              <w:top w:w="80" w:type="dxa"/>
              <w:start w:w="120" w:type="dxa"/>
              <w:bottom w:w="80" w:type="dxa"/>
              <w:end w:w="120" w:type="dxa"/>
            </w:tcMar>
            <w:vAlign w:val="top"/>
          </w:tcPr>
          <w:p>
            <w:pPr>
              <w:spacing w:after="0" w:line="259" w:lineRule="auto"/>
            </w:pPr>
            <w:r>
              <w:rPr>
                <w:rFonts w:ascii="Calibri" w:hAnsi="Calibri"/>
                <w:color w:val="243447"/>
                <w:sz w:val="17"/>
              </w:rPr>
              <w:t>House arrest assumes a safe, stable address. A co-resident may be the person at risk.</w:t>
            </w:r>
          </w:p>
        </w:tc>
        <w:tc>
          <w:tcPr>
            <w:tcW w:type="dxa" w:w="4104"/>
            <w:tcMar>
              <w:top w:w="80" w:type="dxa"/>
              <w:start w:w="120" w:type="dxa"/>
              <w:bottom w:w="80" w:type="dxa"/>
              <w:end w:w="120" w:type="dxa"/>
            </w:tcMar>
            <w:vAlign w:val="top"/>
          </w:tcPr>
          <w:p>
            <w:pPr>
              <w:spacing w:after="0" w:line="259" w:lineRule="auto"/>
            </w:pPr>
            <w:r>
              <w:rPr>
                <w:rFonts w:ascii="Calibri" w:hAnsi="Calibri"/>
                <w:color w:val="243447"/>
                <w:sz w:val="17"/>
              </w:rPr>
              <w:t>Fund supervised residences and housing-first placements; never jail someone simply for lacking an address.</w:t>
            </w:r>
          </w:p>
        </w:tc>
      </w:tr>
      <w:tr>
        <w:trPr>
          <w:cantSplit/>
        </w:trPr>
        <w:tc>
          <w:tcPr>
            <w:tcW w:type="dxa" w:w="1800"/>
            <w:tcMar>
              <w:top w:w="80" w:type="dxa"/>
              <w:start w:w="120" w:type="dxa"/>
              <w:bottom w:w="80" w:type="dxa"/>
              <w:end w:w="120" w:type="dxa"/>
            </w:tcMar>
            <w:vAlign w:val="top"/>
          </w:tcPr>
          <w:p>
            <w:pPr>
              <w:spacing w:after="0" w:line="259" w:lineRule="auto"/>
            </w:pPr>
            <w:r>
              <w:rPr>
                <w:rFonts w:ascii="Calibri" w:hAnsi="Calibri"/>
                <w:color w:val="243447"/>
                <w:sz w:val="17"/>
              </w:rPr>
              <w:t>Signal and device limits</w:t>
            </w:r>
          </w:p>
        </w:tc>
        <w:tc>
          <w:tcPr>
            <w:tcW w:type="dxa" w:w="3456"/>
            <w:tcMar>
              <w:top w:w="80" w:type="dxa"/>
              <w:start w:w="120" w:type="dxa"/>
              <w:bottom w:w="80" w:type="dxa"/>
              <w:end w:w="120" w:type="dxa"/>
            </w:tcMar>
            <w:vAlign w:val="top"/>
          </w:tcPr>
          <w:p>
            <w:pPr>
              <w:spacing w:after="0" w:line="259" w:lineRule="auto"/>
            </w:pPr>
            <w:r>
              <w:rPr>
                <w:rFonts w:ascii="Calibri" w:hAnsi="Calibri"/>
                <w:color w:val="243447"/>
                <w:sz w:val="17"/>
              </w:rPr>
              <w:t>Tampering, dead zones, charging failures and false alerts create both missed harm and unnecessary enforcement.</w:t>
            </w:r>
          </w:p>
        </w:tc>
        <w:tc>
          <w:tcPr>
            <w:tcW w:type="dxa" w:w="4104"/>
            <w:tcMar>
              <w:top w:w="80" w:type="dxa"/>
              <w:start w:w="120" w:type="dxa"/>
              <w:bottom w:w="80" w:type="dxa"/>
              <w:end w:w="120" w:type="dxa"/>
            </w:tcMar>
            <w:vAlign w:val="top"/>
          </w:tcPr>
          <w:p>
            <w:pPr>
              <w:spacing w:after="0" w:line="259" w:lineRule="auto"/>
            </w:pPr>
            <w:r>
              <w:rPr>
                <w:rFonts w:ascii="Calibri" w:hAnsi="Calibri"/>
                <w:color w:val="243447"/>
                <w:sz w:val="17"/>
              </w:rPr>
              <w:t>Use redundant communications, calibrated alert tiers, equipment QA and human verification.</w:t>
            </w:r>
          </w:p>
        </w:tc>
      </w:tr>
      <w:tr>
        <w:trPr>
          <w:cantSplit/>
        </w:trPr>
        <w:tc>
          <w:tcPr>
            <w:tcW w:type="dxa" w:w="1800"/>
            <w:tcMar>
              <w:top w:w="80" w:type="dxa"/>
              <w:start w:w="120" w:type="dxa"/>
              <w:bottom w:w="80" w:type="dxa"/>
              <w:end w:w="120" w:type="dxa"/>
            </w:tcMar>
            <w:vAlign w:val="top"/>
          </w:tcPr>
          <w:p>
            <w:pPr>
              <w:spacing w:after="0" w:line="259" w:lineRule="auto"/>
            </w:pPr>
            <w:r>
              <w:rPr>
                <w:rFonts w:ascii="Calibri" w:hAnsi="Calibri"/>
                <w:color w:val="243447"/>
                <w:sz w:val="17"/>
              </w:rPr>
              <w:t>Proportionality</w:t>
            </w:r>
          </w:p>
        </w:tc>
        <w:tc>
          <w:tcPr>
            <w:tcW w:type="dxa" w:w="3456"/>
            <w:tcMar>
              <w:top w:w="80" w:type="dxa"/>
              <w:start w:w="120" w:type="dxa"/>
              <w:bottom w:w="80" w:type="dxa"/>
              <w:end w:w="120" w:type="dxa"/>
            </w:tcMar>
            <w:vAlign w:val="top"/>
          </w:tcPr>
          <w:p>
            <w:pPr>
              <w:spacing w:after="0" w:line="259" w:lineRule="auto"/>
            </w:pPr>
            <w:r>
              <w:rPr>
                <w:rFonts w:ascii="Calibri" w:hAnsi="Calibri"/>
                <w:color w:val="243447"/>
                <w:sz w:val="17"/>
              </w:rPr>
              <w:t>A 24-hour location trail can be more intrusive than ordinary probation and can widen control over low-risk people.</w:t>
            </w:r>
          </w:p>
        </w:tc>
        <w:tc>
          <w:tcPr>
            <w:tcW w:type="dxa" w:w="4104"/>
            <w:tcMar>
              <w:top w:w="80" w:type="dxa"/>
              <w:start w:w="120" w:type="dxa"/>
              <w:bottom w:w="80" w:type="dxa"/>
              <w:end w:w="120" w:type="dxa"/>
            </w:tcMar>
            <w:vAlign w:val="top"/>
          </w:tcPr>
          <w:p>
            <w:pPr>
              <w:spacing w:after="0" w:line="259" w:lineRule="auto"/>
            </w:pPr>
            <w:r>
              <w:rPr>
                <w:rFonts w:ascii="Calibri" w:hAnsi="Calibri"/>
                <w:color w:val="243447"/>
                <w:sz w:val="17"/>
              </w:rPr>
              <w:t>Use GPS only when it displaces a more restrictive sanction, with deletion rules and court-set duration.</w:t>
            </w:r>
          </w:p>
        </w:tc>
      </w:tr>
      <w:tr>
        <w:trPr>
          <w:cantSplit/>
        </w:trPr>
        <w:tc>
          <w:tcPr>
            <w:tcW w:type="dxa" w:w="1800"/>
            <w:tcMar>
              <w:top w:w="80" w:type="dxa"/>
              <w:start w:w="120" w:type="dxa"/>
              <w:bottom w:w="80" w:type="dxa"/>
              <w:end w:w="120" w:type="dxa"/>
            </w:tcMar>
            <w:vAlign w:val="top"/>
          </w:tcPr>
          <w:p>
            <w:pPr>
              <w:spacing w:after="0" w:line="259" w:lineRule="auto"/>
            </w:pPr>
            <w:r>
              <w:rPr>
                <w:rFonts w:ascii="Calibri" w:hAnsi="Calibri"/>
                <w:color w:val="243447"/>
                <w:sz w:val="17"/>
              </w:rPr>
              <w:t>Capacity</w:t>
            </w:r>
          </w:p>
        </w:tc>
        <w:tc>
          <w:tcPr>
            <w:tcW w:type="dxa" w:w="3456"/>
            <w:tcMar>
              <w:top w:w="80" w:type="dxa"/>
              <w:start w:w="120" w:type="dxa"/>
              <w:bottom w:w="80" w:type="dxa"/>
              <w:end w:w="120" w:type="dxa"/>
            </w:tcMar>
            <w:vAlign w:val="top"/>
          </w:tcPr>
          <w:p>
            <w:pPr>
              <w:spacing w:after="0" w:line="259" w:lineRule="auto"/>
            </w:pPr>
            <w:r>
              <w:rPr>
                <w:rFonts w:ascii="Calibri" w:hAnsi="Calibri"/>
                <w:color w:val="243447"/>
                <w:sz w:val="17"/>
              </w:rPr>
              <w:t>An alert without a timely response is only data.</w:t>
            </w:r>
          </w:p>
        </w:tc>
        <w:tc>
          <w:tcPr>
            <w:tcW w:type="dxa" w:w="4104"/>
            <w:tcMar>
              <w:top w:w="80" w:type="dxa"/>
              <w:start w:w="120" w:type="dxa"/>
              <w:bottom w:w="80" w:type="dxa"/>
              <w:end w:w="120" w:type="dxa"/>
            </w:tcMar>
            <w:vAlign w:val="top"/>
          </w:tcPr>
          <w:p>
            <w:pPr>
              <w:spacing w:after="0" w:line="259" w:lineRule="auto"/>
            </w:pPr>
            <w:r>
              <w:rPr>
                <w:rFonts w:ascii="Calibri" w:hAnsi="Calibri"/>
                <w:color w:val="243447"/>
                <w:sz w:val="17"/>
              </w:rPr>
              <w:t>Contract for measurable dispatch standards and publish response-time performance.</w:t>
            </w:r>
          </w:p>
        </w:tc>
      </w:tr>
    </w:tbl>
    <w:p>
      <w:pPr>
        <w:spacing w:after="0"/>
      </w:pPr>
    </w:p>
    <w:p>
      <w:pPr>
        <w:pStyle w:val="Heading1"/>
      </w:pPr>
      <w:r>
        <w:t>2. What Canada and B.C. spend</w:t>
      </w:r>
    </w:p>
    <w:p>
      <w:pPr>
        <w:pStyle w:val="Heading2"/>
      </w:pPr>
      <w:r>
        <w:t>National operating spending is measured in billions</w:t>
      </w:r>
    </w:p>
    <w:tbl>
      <w:tblPr>
        <w:tblStyle w:val="TableGrid"/>
        <w:tblW w:type="auto" w:w="0"/>
        <w:jc w:val="left"/>
        <w:tblLayout w:type="fixed"/>
        <w:tblLook w:firstColumn="1" w:firstRow="1" w:lastColumn="0" w:lastRow="0" w:noHBand="0" w:noVBand="1" w:val="04A0"/>
      </w:tblPr>
      <w:tblGrid>
        <w:gridCol w:w="2340"/>
        <w:gridCol w:w="2340"/>
        <w:gridCol w:w="2340"/>
        <w:gridCol w:w="2340"/>
      </w:tblGrid>
      <w:tr>
        <w:trPr>
          <w:tblHeader w:val="true"/>
          <w:cantSplit/>
        </w:trPr>
        <w:tc>
          <w:tcPr>
            <w:tcW w:type="dxa" w:w="3528"/>
            <w:shd w:fill="F4F6F9"/>
            <w:tcMar>
              <w:top w:w="80" w:type="dxa"/>
              <w:start w:w="120" w:type="dxa"/>
              <w:bottom w:w="80" w:type="dxa"/>
              <w:end w:w="120" w:type="dxa"/>
            </w:tcMar>
            <w:vAlign w:val="center"/>
          </w:tcPr>
          <w:p>
            <w:pPr>
              <w:spacing w:after="0"/>
            </w:pPr>
            <w:r>
              <w:rPr>
                <w:rFonts w:ascii="Calibri" w:hAnsi="Calibri"/>
                <w:b/>
                <w:color w:val="1F4D78"/>
                <w:sz w:val="17"/>
              </w:rPr>
              <w:t>2023/24 standardized measure</w:t>
            </w:r>
          </w:p>
        </w:tc>
        <w:tc>
          <w:tcPr>
            <w:tcW w:type="dxa" w:w="1944"/>
            <w:shd w:fill="F4F6F9"/>
            <w:tcMar>
              <w:top w:w="80" w:type="dxa"/>
              <w:start w:w="120" w:type="dxa"/>
              <w:bottom w:w="80" w:type="dxa"/>
              <w:end w:w="120" w:type="dxa"/>
            </w:tcMar>
            <w:vAlign w:val="center"/>
          </w:tcPr>
          <w:p>
            <w:pPr>
              <w:spacing w:after="0"/>
            </w:pPr>
            <w:r>
              <w:rPr>
                <w:rFonts w:ascii="Calibri" w:hAnsi="Calibri"/>
                <w:b/>
                <w:color w:val="1F4D78"/>
                <w:sz w:val="17"/>
              </w:rPr>
              <w:t>Provinces / territories</w:t>
            </w:r>
          </w:p>
        </w:tc>
        <w:tc>
          <w:tcPr>
            <w:tcW w:type="dxa" w:w="1944"/>
            <w:shd w:fill="F4F6F9"/>
            <w:tcMar>
              <w:top w:w="80" w:type="dxa"/>
              <w:start w:w="120" w:type="dxa"/>
              <w:bottom w:w="80" w:type="dxa"/>
              <w:end w:w="120" w:type="dxa"/>
            </w:tcMar>
            <w:vAlign w:val="center"/>
          </w:tcPr>
          <w:p>
            <w:pPr>
              <w:spacing w:after="0"/>
            </w:pPr>
            <w:r>
              <w:rPr>
                <w:rFonts w:ascii="Calibri" w:hAnsi="Calibri"/>
                <w:b/>
                <w:color w:val="1F4D78"/>
                <w:sz w:val="17"/>
              </w:rPr>
              <w:t>Federal</w:t>
            </w:r>
          </w:p>
        </w:tc>
        <w:tc>
          <w:tcPr>
            <w:tcW w:type="dxa" w:w="1944"/>
            <w:shd w:fill="F4F6F9"/>
            <w:tcMar>
              <w:top w:w="80" w:type="dxa"/>
              <w:start w:w="120" w:type="dxa"/>
              <w:bottom w:w="80" w:type="dxa"/>
              <w:end w:w="120" w:type="dxa"/>
            </w:tcMar>
            <w:vAlign w:val="center"/>
          </w:tcPr>
          <w:p>
            <w:pPr>
              <w:spacing w:after="0"/>
            </w:pPr>
            <w:r>
              <w:rPr>
                <w:rFonts w:ascii="Calibri" w:hAnsi="Calibri"/>
                <w:b/>
                <w:color w:val="1F4D78"/>
                <w:sz w:val="17"/>
              </w:rPr>
              <w:t>Combined</w:t>
            </w:r>
          </w:p>
        </w:tc>
      </w:tr>
      <w:tr>
        <w:trPr>
          <w:cantSplit/>
        </w:trPr>
        <w:tc>
          <w:tcPr>
            <w:tcW w:type="dxa" w:w="3528"/>
            <w:tcMar>
              <w:top w:w="80" w:type="dxa"/>
              <w:start w:w="120" w:type="dxa"/>
              <w:bottom w:w="80" w:type="dxa"/>
              <w:end w:w="120" w:type="dxa"/>
            </w:tcMar>
            <w:vAlign w:val="top"/>
          </w:tcPr>
          <w:p>
            <w:pPr>
              <w:spacing w:after="0" w:line="259" w:lineRule="auto"/>
            </w:pPr>
            <w:r>
              <w:rPr>
                <w:rFonts w:ascii="Calibri" w:hAnsi="Calibri"/>
                <w:color w:val="243447"/>
                <w:sz w:val="17"/>
              </w:rPr>
              <w:t>Total adult-corrections operating expenditures</w:t>
            </w:r>
          </w:p>
        </w:tc>
        <w:tc>
          <w:tcPr>
            <w:tcW w:type="dxa" w:w="1944"/>
            <w:tcMar>
              <w:top w:w="80" w:type="dxa"/>
              <w:start w:w="120" w:type="dxa"/>
              <w:bottom w:w="80" w:type="dxa"/>
              <w:end w:w="120" w:type="dxa"/>
            </w:tcMar>
            <w:vAlign w:val="top"/>
          </w:tcPr>
          <w:p>
            <w:pPr>
              <w:spacing w:after="0" w:line="259" w:lineRule="auto"/>
            </w:pPr>
            <w:r>
              <w:rPr>
                <w:rFonts w:ascii="Calibri" w:hAnsi="Calibri"/>
                <w:color w:val="243447"/>
                <w:sz w:val="17"/>
              </w:rPr>
              <w:t>$3.559B</w:t>
            </w:r>
          </w:p>
        </w:tc>
        <w:tc>
          <w:tcPr>
            <w:tcW w:type="dxa" w:w="1944"/>
            <w:tcMar>
              <w:top w:w="80" w:type="dxa"/>
              <w:start w:w="120" w:type="dxa"/>
              <w:bottom w:w="80" w:type="dxa"/>
              <w:end w:w="120" w:type="dxa"/>
            </w:tcMar>
            <w:vAlign w:val="top"/>
          </w:tcPr>
          <w:p>
            <w:pPr>
              <w:spacing w:after="0" w:line="259" w:lineRule="auto"/>
            </w:pPr>
            <w:r>
              <w:rPr>
                <w:rFonts w:ascii="Calibri" w:hAnsi="Calibri"/>
                <w:color w:val="243447"/>
                <w:sz w:val="17"/>
              </w:rPr>
              <w:t>$3.196B</w:t>
            </w:r>
          </w:p>
        </w:tc>
        <w:tc>
          <w:tcPr>
            <w:tcW w:type="dxa" w:w="1944"/>
            <w:tcMar>
              <w:top w:w="80" w:type="dxa"/>
              <w:start w:w="120" w:type="dxa"/>
              <w:bottom w:w="80" w:type="dxa"/>
              <w:end w:w="120" w:type="dxa"/>
            </w:tcMar>
            <w:vAlign w:val="top"/>
          </w:tcPr>
          <w:p>
            <w:pPr>
              <w:spacing w:after="0" w:line="259" w:lineRule="auto"/>
            </w:pPr>
            <w:r>
              <w:rPr>
                <w:rFonts w:ascii="Calibri" w:hAnsi="Calibri"/>
                <w:color w:val="243447"/>
                <w:sz w:val="17"/>
              </w:rPr>
              <w:t>$6.755B</w:t>
            </w:r>
          </w:p>
        </w:tc>
      </w:tr>
      <w:tr>
        <w:trPr>
          <w:cantSplit/>
        </w:trPr>
        <w:tc>
          <w:tcPr>
            <w:tcW w:type="dxa" w:w="3528"/>
            <w:tcMar>
              <w:top w:w="80" w:type="dxa"/>
              <w:start w:w="120" w:type="dxa"/>
              <w:bottom w:w="80" w:type="dxa"/>
              <w:end w:w="120" w:type="dxa"/>
            </w:tcMar>
            <w:vAlign w:val="top"/>
          </w:tcPr>
          <w:p>
            <w:pPr>
              <w:spacing w:after="0" w:line="259" w:lineRule="auto"/>
            </w:pPr>
            <w:r>
              <w:rPr>
                <w:rFonts w:ascii="Calibri" w:hAnsi="Calibri"/>
                <w:color w:val="243447"/>
                <w:sz w:val="17"/>
              </w:rPr>
              <w:t>Custody</w:t>
            </w:r>
          </w:p>
        </w:tc>
        <w:tc>
          <w:tcPr>
            <w:tcW w:type="dxa" w:w="1944"/>
            <w:tcMar>
              <w:top w:w="80" w:type="dxa"/>
              <w:start w:w="120" w:type="dxa"/>
              <w:bottom w:w="80" w:type="dxa"/>
              <w:end w:w="120" w:type="dxa"/>
            </w:tcMar>
            <w:vAlign w:val="top"/>
          </w:tcPr>
          <w:p>
            <w:pPr>
              <w:spacing w:after="0" w:line="259" w:lineRule="auto"/>
            </w:pPr>
            <w:r>
              <w:rPr>
                <w:rFonts w:ascii="Calibri" w:hAnsi="Calibri"/>
                <w:color w:val="243447"/>
                <w:sz w:val="17"/>
              </w:rPr>
              <w:t>$2.962B</w:t>
            </w:r>
          </w:p>
        </w:tc>
        <w:tc>
          <w:tcPr>
            <w:tcW w:type="dxa" w:w="1944"/>
            <w:tcMar>
              <w:top w:w="80" w:type="dxa"/>
              <w:start w:w="120" w:type="dxa"/>
              <w:bottom w:w="80" w:type="dxa"/>
              <w:end w:w="120" w:type="dxa"/>
            </w:tcMar>
            <w:vAlign w:val="top"/>
          </w:tcPr>
          <w:p>
            <w:pPr>
              <w:spacing w:after="0" w:line="259" w:lineRule="auto"/>
            </w:pPr>
            <w:r>
              <w:rPr>
                <w:rFonts w:ascii="Calibri" w:hAnsi="Calibri"/>
                <w:color w:val="243447"/>
                <w:sz w:val="17"/>
              </w:rPr>
              <w:t>$1.893B</w:t>
            </w:r>
          </w:p>
        </w:tc>
        <w:tc>
          <w:tcPr>
            <w:tcW w:type="dxa" w:w="1944"/>
            <w:tcMar>
              <w:top w:w="80" w:type="dxa"/>
              <w:start w:w="120" w:type="dxa"/>
              <w:bottom w:w="80" w:type="dxa"/>
              <w:end w:w="120" w:type="dxa"/>
            </w:tcMar>
            <w:vAlign w:val="top"/>
          </w:tcPr>
          <w:p>
            <w:pPr>
              <w:spacing w:after="0" w:line="259" w:lineRule="auto"/>
            </w:pPr>
            <w:r>
              <w:rPr>
                <w:rFonts w:ascii="Calibri" w:hAnsi="Calibri"/>
                <w:color w:val="243447"/>
                <w:sz w:val="17"/>
              </w:rPr>
              <w:t>$4.855B</w:t>
            </w:r>
          </w:p>
        </w:tc>
      </w:tr>
      <w:tr>
        <w:trPr>
          <w:cantSplit/>
        </w:trPr>
        <w:tc>
          <w:tcPr>
            <w:tcW w:type="dxa" w:w="3528"/>
            <w:tcMar>
              <w:top w:w="80" w:type="dxa"/>
              <w:start w:w="120" w:type="dxa"/>
              <w:bottom w:w="80" w:type="dxa"/>
              <w:end w:w="120" w:type="dxa"/>
            </w:tcMar>
            <w:vAlign w:val="top"/>
          </w:tcPr>
          <w:p>
            <w:pPr>
              <w:spacing w:after="0" w:line="259" w:lineRule="auto"/>
            </w:pPr>
            <w:r>
              <w:rPr>
                <w:rFonts w:ascii="Calibri" w:hAnsi="Calibri"/>
                <w:color w:val="243447"/>
                <w:sz w:val="17"/>
              </w:rPr>
              <w:t>Community supervision</w:t>
            </w:r>
          </w:p>
        </w:tc>
        <w:tc>
          <w:tcPr>
            <w:tcW w:type="dxa" w:w="1944"/>
            <w:tcMar>
              <w:top w:w="80" w:type="dxa"/>
              <w:start w:w="120" w:type="dxa"/>
              <w:bottom w:w="80" w:type="dxa"/>
              <w:end w:w="120" w:type="dxa"/>
            </w:tcMar>
            <w:vAlign w:val="top"/>
          </w:tcPr>
          <w:p>
            <w:pPr>
              <w:spacing w:after="0" w:line="259" w:lineRule="auto"/>
            </w:pPr>
            <w:r>
              <w:rPr>
                <w:rFonts w:ascii="Calibri" w:hAnsi="Calibri"/>
                <w:color w:val="243447"/>
                <w:sz w:val="17"/>
              </w:rPr>
              <w:t>$455.5M</w:t>
            </w:r>
          </w:p>
        </w:tc>
        <w:tc>
          <w:tcPr>
            <w:tcW w:type="dxa" w:w="1944"/>
            <w:tcMar>
              <w:top w:w="80" w:type="dxa"/>
              <w:start w:w="120" w:type="dxa"/>
              <w:bottom w:w="80" w:type="dxa"/>
              <w:end w:w="120" w:type="dxa"/>
            </w:tcMar>
            <w:vAlign w:val="top"/>
          </w:tcPr>
          <w:p>
            <w:pPr>
              <w:spacing w:after="0" w:line="259" w:lineRule="auto"/>
            </w:pPr>
            <w:r>
              <w:rPr>
                <w:rFonts w:ascii="Calibri" w:hAnsi="Calibri"/>
                <w:color w:val="243447"/>
                <w:sz w:val="17"/>
              </w:rPr>
              <w:t>$206.9M</w:t>
            </w:r>
          </w:p>
        </w:tc>
        <w:tc>
          <w:tcPr>
            <w:tcW w:type="dxa" w:w="1944"/>
            <w:tcMar>
              <w:top w:w="80" w:type="dxa"/>
              <w:start w:w="120" w:type="dxa"/>
              <w:bottom w:w="80" w:type="dxa"/>
              <w:end w:w="120" w:type="dxa"/>
            </w:tcMar>
            <w:vAlign w:val="top"/>
          </w:tcPr>
          <w:p>
            <w:pPr>
              <w:spacing w:after="0" w:line="259" w:lineRule="auto"/>
            </w:pPr>
            <w:r>
              <w:rPr>
                <w:rFonts w:ascii="Calibri" w:hAnsi="Calibri"/>
                <w:color w:val="243447"/>
                <w:sz w:val="17"/>
              </w:rPr>
              <w:t>$662.4M</w:t>
            </w:r>
          </w:p>
        </w:tc>
      </w:tr>
      <w:tr>
        <w:trPr>
          <w:cantSplit/>
        </w:trPr>
        <w:tc>
          <w:tcPr>
            <w:tcW w:type="dxa" w:w="3528"/>
            <w:tcMar>
              <w:top w:w="80" w:type="dxa"/>
              <w:start w:w="120" w:type="dxa"/>
              <w:bottom w:w="80" w:type="dxa"/>
              <w:end w:w="120" w:type="dxa"/>
            </w:tcMar>
            <w:vAlign w:val="top"/>
          </w:tcPr>
          <w:p>
            <w:pPr>
              <w:spacing w:after="0" w:line="259" w:lineRule="auto"/>
            </w:pPr>
            <w:r>
              <w:rPr>
                <w:rFonts w:ascii="Calibri" w:hAnsi="Calibri"/>
                <w:color w:val="243447"/>
                <w:sz w:val="17"/>
              </w:rPr>
              <w:t>Headquarters / boards / other</w:t>
            </w:r>
          </w:p>
        </w:tc>
        <w:tc>
          <w:tcPr>
            <w:tcW w:type="dxa" w:w="1944"/>
            <w:tcMar>
              <w:top w:w="80" w:type="dxa"/>
              <w:start w:w="120" w:type="dxa"/>
              <w:bottom w:w="80" w:type="dxa"/>
              <w:end w:w="120" w:type="dxa"/>
            </w:tcMar>
            <w:vAlign w:val="top"/>
          </w:tcPr>
          <w:p>
            <w:pPr>
              <w:spacing w:after="0" w:line="259" w:lineRule="auto"/>
            </w:pPr>
            <w:r>
              <w:rPr>
                <w:rFonts w:ascii="Calibri" w:hAnsi="Calibri"/>
                <w:color w:val="243447"/>
                <w:sz w:val="17"/>
              </w:rPr>
              <w:t>$141.5M</w:t>
            </w:r>
          </w:p>
        </w:tc>
        <w:tc>
          <w:tcPr>
            <w:tcW w:type="dxa" w:w="1944"/>
            <w:tcMar>
              <w:top w:w="80" w:type="dxa"/>
              <w:start w:w="120" w:type="dxa"/>
              <w:bottom w:w="80" w:type="dxa"/>
              <w:end w:w="120" w:type="dxa"/>
            </w:tcMar>
            <w:vAlign w:val="top"/>
          </w:tcPr>
          <w:p>
            <w:pPr>
              <w:spacing w:after="0" w:line="259" w:lineRule="auto"/>
            </w:pPr>
            <w:r>
              <w:rPr>
                <w:rFonts w:ascii="Calibri" w:hAnsi="Calibri"/>
                <w:color w:val="243447"/>
                <w:sz w:val="17"/>
              </w:rPr>
              <w:t>$1.096B</w:t>
            </w:r>
          </w:p>
        </w:tc>
        <w:tc>
          <w:tcPr>
            <w:tcW w:type="dxa" w:w="1944"/>
            <w:tcMar>
              <w:top w:w="80" w:type="dxa"/>
              <w:start w:w="120" w:type="dxa"/>
              <w:bottom w:w="80" w:type="dxa"/>
              <w:end w:w="120" w:type="dxa"/>
            </w:tcMar>
            <w:vAlign w:val="top"/>
          </w:tcPr>
          <w:p>
            <w:pPr>
              <w:spacing w:after="0" w:line="259" w:lineRule="auto"/>
            </w:pPr>
            <w:r>
              <w:rPr>
                <w:rFonts w:ascii="Calibri" w:hAnsi="Calibri"/>
                <w:color w:val="243447"/>
                <w:sz w:val="17"/>
              </w:rPr>
              <w:t>$1.237B</w:t>
            </w:r>
          </w:p>
        </w:tc>
      </w:tr>
      <w:tr>
        <w:trPr>
          <w:cantSplit/>
        </w:trPr>
        <w:tc>
          <w:tcPr>
            <w:tcW w:type="dxa" w:w="3528"/>
            <w:tcMar>
              <w:top w:w="80" w:type="dxa"/>
              <w:start w:w="120" w:type="dxa"/>
              <w:bottom w:w="80" w:type="dxa"/>
              <w:end w:w="120" w:type="dxa"/>
            </w:tcMar>
            <w:vAlign w:val="top"/>
          </w:tcPr>
          <w:p>
            <w:pPr>
              <w:spacing w:after="0" w:line="259" w:lineRule="auto"/>
            </w:pPr>
            <w:r>
              <w:rPr>
                <w:rFonts w:ascii="Calibri" w:hAnsi="Calibri"/>
                <w:color w:val="243447"/>
                <w:sz w:val="17"/>
              </w:rPr>
              <w:t>Cost per inmate-day</w:t>
            </w:r>
          </w:p>
        </w:tc>
        <w:tc>
          <w:tcPr>
            <w:tcW w:type="dxa" w:w="1944"/>
            <w:tcMar>
              <w:top w:w="80" w:type="dxa"/>
              <w:start w:w="120" w:type="dxa"/>
              <w:bottom w:w="80" w:type="dxa"/>
              <w:end w:w="120" w:type="dxa"/>
            </w:tcMar>
            <w:vAlign w:val="top"/>
          </w:tcPr>
          <w:p>
            <w:pPr>
              <w:spacing w:after="0" w:line="259" w:lineRule="auto"/>
            </w:pPr>
            <w:r>
              <w:rPr>
                <w:rFonts w:ascii="Calibri" w:hAnsi="Calibri"/>
                <w:color w:val="243447"/>
                <w:sz w:val="17"/>
              </w:rPr>
              <w:t>$319</w:t>
            </w:r>
          </w:p>
        </w:tc>
        <w:tc>
          <w:tcPr>
            <w:tcW w:type="dxa" w:w="1944"/>
            <w:tcMar>
              <w:top w:w="80" w:type="dxa"/>
              <w:start w:w="120" w:type="dxa"/>
              <w:bottom w:w="80" w:type="dxa"/>
              <w:end w:w="120" w:type="dxa"/>
            </w:tcMar>
            <w:vAlign w:val="top"/>
          </w:tcPr>
          <w:p>
            <w:pPr>
              <w:spacing w:after="0" w:line="259" w:lineRule="auto"/>
            </w:pPr>
            <w:r>
              <w:rPr>
                <w:rFonts w:ascii="Calibri" w:hAnsi="Calibri"/>
                <w:color w:val="243447"/>
                <w:sz w:val="17"/>
              </w:rPr>
              <w:t>$428</w:t>
            </w:r>
          </w:p>
        </w:tc>
        <w:tc>
          <w:tcPr>
            <w:tcW w:type="dxa" w:w="1944"/>
            <w:tcMar>
              <w:top w:w="80" w:type="dxa"/>
              <w:start w:w="120" w:type="dxa"/>
              <w:bottom w:w="80" w:type="dxa"/>
              <w:end w:w="120" w:type="dxa"/>
            </w:tcMar>
            <w:vAlign w:val="top"/>
          </w:tcPr>
          <w:p>
            <w:pPr>
              <w:spacing w:after="0" w:line="259" w:lineRule="auto"/>
            </w:pPr>
            <w:r>
              <w:rPr>
                <w:rFonts w:ascii="Calibri" w:hAnsi="Calibri"/>
                <w:color w:val="243447"/>
                <w:sz w:val="17"/>
              </w:rPr>
              <w:t>Not additive</w:t>
            </w:r>
          </w:p>
        </w:tc>
      </w:tr>
    </w:tbl>
    <w:p>
      <w:pPr>
        <w:spacing w:after="0"/>
      </w:pPr>
    </w:p>
    <w:p>
      <w:r>
        <w:t>Source: Statistics Canada Table 35-10-0013-01. [6] “Other” federal spending is a broad category and should not be treated as custody. Capital, policing, courts, prosecution and legal aid are outside this table.</w:t>
      </w:r>
    </w:p>
    <w:p>
      <w:pPr>
        <w:spacing w:after="80"/>
        <w:jc w:val="center"/>
      </w:pPr>
      <w:r>
        <w:drawing>
          <wp:inline xmlns:a="http://schemas.openxmlformats.org/drawingml/2006/main" xmlns:pic="http://schemas.openxmlformats.org/drawingml/2006/picture">
            <wp:extent cx="5806440" cy="2921665"/>
            <wp:docPr id="1" name="Picture 1" descr="Horizontal bar chart comparing indicative annual per-person costs: federal custody 156,744 dollars in 2022/23, federal community supervision 47,522 dollars in 2022/23, and the electronic monitoring pilot approximately 30,987 dollars in 2017/18." title="Evidence chart"/>
            <wp:cNvGraphicFramePr>
              <a:graphicFrameLocks noChangeAspect="1"/>
            </wp:cNvGraphicFramePr>
            <a:graphic>
              <a:graphicData uri="http://schemas.openxmlformats.org/drawingml/2006/picture">
                <pic:pic>
                  <pic:nvPicPr>
                    <pic:cNvPr id="0" name="community_custody_costs.png"/>
                    <pic:cNvPicPr/>
                  </pic:nvPicPr>
                  <pic:blipFill>
                    <a:blip r:embed="rId11"/>
                    <a:stretch>
                      <a:fillRect/>
                    </a:stretch>
                  </pic:blipFill>
                  <pic:spPr>
                    <a:xfrm>
                      <a:off x="0" y="0"/>
                      <a:ext cx="5806440" cy="2921665"/>
                    </a:xfrm>
                    <a:prstGeom prst="rect"/>
                  </pic:spPr>
                </pic:pic>
              </a:graphicData>
            </a:graphic>
          </wp:inline>
        </w:drawing>
      </w:r>
    </w:p>
    <w:p>
      <w:pPr>
        <w:spacing w:after="160"/>
        <w:jc w:val="left"/>
      </w:pPr>
      <w:r>
        <w:rPr>
          <w:rFonts w:ascii="Calibri" w:hAnsi="Calibri"/>
          <w:i/>
          <w:color w:val="617285"/>
          <w:sz w:val="16"/>
        </w:rPr>
        <w:t>Sources: Public Safety Canada [8] and Correctional Service Canada’s historic electronic-monitoring pilot [17]. The years and accounting scopes differ; the chart shows order of magnitude, not a budget forecast.</w:t>
      </w:r>
    </w:p>
    <w:p>
      <w:pPr>
        <w:pStyle w:val="Heading2"/>
      </w:pPr>
      <w:r>
        <w:t>B.C. has two useful—but different—accounting views</w:t>
      </w:r>
    </w:p>
    <w:p>
      <w:r>
        <w:t>B.C.’s 2024/25 Annual Service Plan Report lists $339.2 million in corrections operating spending and $1.5 million in listed capital spending. [11] Statistics Canada’s standardized 2023/24 B.C. series reports $383.2 million in operating expenditures: $280.6 million for custody, $79.4 million for community supervision and $23.2 million for headquarters, with a custody cost of $418 per inmate-day—about $152,570 annualized. [6] The difference reflects fiscal year and accounting scope; it is not an error to be averaged away.</w:t>
      </w:r>
    </w:p>
    <w:p>
      <w:pPr>
        <w:pStyle w:val="Heading2"/>
      </w:pPr>
      <w:r>
        <w:t>Sex-specific figures require disciplined interpretation</w:t>
      </w:r>
    </w:p>
    <w:p>
      <w:r>
        <w:t>The federal 2022/23 average annual cost was $150,666 per male offender in custody and $256,682 per female offender, compared with $156,744 overall. The year-end federal population was 13,119 men and 736 women. [8] The higher per-person figure for women reflects, among other things, the fixed costs of a smaller and geographically distributed system; it does not mean women consume more total federal custody spending. Public reporting does not provide a defensible audited “male total” and “female total” that can simply be inferred by multiplying a one-day population snapshot by an annual average cost.</w:t>
      </w:r>
    </w:p>
    <w:p>
      <w:pPr>
        <w:pStyle w:val="Heading2"/>
      </w:pPr>
      <w:r>
        <w:t>Staffing, food, buildings, programs and security</w:t>
      </w:r>
    </w:p>
    <w:p>
      <w:r>
        <w:t>Correctional spending is dominated by people and secure operations, not a single “food and maintenance” line. Correctional Service Canada reported $3.601 billion in actual spending and 19,154 full-time equivalents in 2024/25. Care and custody accounted for $2.370 billion and 11,207 FTEs; correctional interventions for $550.8 million and 4,581 FTEs; community supervision for $223.1 million and 244 FTEs; and internal services for $456.7 million and 3,122 FTEs. [9]</w:t>
      </w:r>
    </w:p>
    <w:tbl>
      <w:tblPr>
        <w:tblStyle w:val="TableGrid"/>
        <w:tblW w:type="auto" w:w="0"/>
        <w:jc w:val="left"/>
        <w:tblLayout w:type="fixed"/>
        <w:tblLook w:firstColumn="1" w:firstRow="1" w:lastColumn="0" w:lastRow="0" w:noHBand="0" w:noVBand="1" w:val="04A0"/>
      </w:tblPr>
      <w:tblGrid>
        <w:gridCol w:w="3120"/>
        <w:gridCol w:w="3120"/>
        <w:gridCol w:w="3120"/>
      </w:tblGrid>
      <w:tr>
        <w:trPr>
          <w:tblHeader w:val="true"/>
          <w:cantSplit/>
        </w:trPr>
        <w:tc>
          <w:tcPr>
            <w:tcW w:type="dxa" w:w="3384"/>
            <w:shd w:fill="F4F6F9"/>
            <w:tcMar>
              <w:top w:w="80" w:type="dxa"/>
              <w:start w:w="120" w:type="dxa"/>
              <w:bottom w:w="80" w:type="dxa"/>
              <w:end w:w="120" w:type="dxa"/>
            </w:tcMar>
            <w:vAlign w:val="center"/>
          </w:tcPr>
          <w:p>
            <w:pPr>
              <w:spacing w:after="0"/>
            </w:pPr>
            <w:r>
              <w:rPr>
                <w:rFonts w:ascii="Calibri" w:hAnsi="Calibri"/>
                <w:b/>
                <w:color w:val="1F4D78"/>
                <w:sz w:val="17"/>
              </w:rPr>
              <w:t>Federal expense category, 2024/25</w:t>
            </w:r>
          </w:p>
        </w:tc>
        <w:tc>
          <w:tcPr>
            <w:tcW w:type="dxa" w:w="1655"/>
            <w:shd w:fill="F4F6F9"/>
            <w:tcMar>
              <w:top w:w="80" w:type="dxa"/>
              <w:start w:w="120" w:type="dxa"/>
              <w:bottom w:w="80" w:type="dxa"/>
              <w:end w:w="120" w:type="dxa"/>
            </w:tcMar>
            <w:vAlign w:val="center"/>
          </w:tcPr>
          <w:p>
            <w:pPr>
              <w:spacing w:after="0"/>
            </w:pPr>
            <w:r>
              <w:rPr>
                <w:rFonts w:ascii="Calibri" w:hAnsi="Calibri"/>
                <w:b/>
                <w:color w:val="1F4D78"/>
                <w:sz w:val="17"/>
              </w:rPr>
              <w:t>Reported amount</w:t>
            </w:r>
          </w:p>
        </w:tc>
        <w:tc>
          <w:tcPr>
            <w:tcW w:type="dxa" w:w="4320"/>
            <w:shd w:fill="F4F6F9"/>
            <w:tcMar>
              <w:top w:w="80" w:type="dxa"/>
              <w:start w:w="120" w:type="dxa"/>
              <w:bottom w:w="80" w:type="dxa"/>
              <w:end w:w="120" w:type="dxa"/>
            </w:tcMar>
            <w:vAlign w:val="center"/>
          </w:tcPr>
          <w:p>
            <w:pPr>
              <w:spacing w:after="0"/>
            </w:pPr>
            <w:r>
              <w:rPr>
                <w:rFonts w:ascii="Calibri" w:hAnsi="Calibri"/>
                <w:b/>
                <w:color w:val="1F4D78"/>
                <w:sz w:val="17"/>
              </w:rPr>
              <w:t>What it includes / does not prove</w:t>
            </w:r>
          </w:p>
        </w:tc>
      </w:tr>
      <w:tr>
        <w:trPr>
          <w:cantSplit/>
        </w:trPr>
        <w:tc>
          <w:tcPr>
            <w:tcW w:type="dxa" w:w="3384"/>
            <w:tcMar>
              <w:top w:w="80" w:type="dxa"/>
              <w:start w:w="120" w:type="dxa"/>
              <w:bottom w:w="80" w:type="dxa"/>
              <w:end w:w="120" w:type="dxa"/>
            </w:tcMar>
            <w:vAlign w:val="top"/>
          </w:tcPr>
          <w:p>
            <w:pPr>
              <w:spacing w:after="0" w:line="259" w:lineRule="auto"/>
            </w:pPr>
            <w:r>
              <w:rPr>
                <w:rFonts w:ascii="Calibri" w:hAnsi="Calibri"/>
                <w:color w:val="243447"/>
                <w:sz w:val="17"/>
              </w:rPr>
              <w:t>Salaries and employee benefits</w:t>
            </w:r>
          </w:p>
        </w:tc>
        <w:tc>
          <w:tcPr>
            <w:tcW w:type="dxa" w:w="1655"/>
            <w:tcMar>
              <w:top w:w="80" w:type="dxa"/>
              <w:start w:w="120" w:type="dxa"/>
              <w:bottom w:w="80" w:type="dxa"/>
              <w:end w:w="120" w:type="dxa"/>
            </w:tcMar>
            <w:vAlign w:val="top"/>
          </w:tcPr>
          <w:p>
            <w:pPr>
              <w:spacing w:after="0" w:line="259" w:lineRule="auto"/>
            </w:pPr>
            <w:r>
              <w:rPr>
                <w:rFonts w:ascii="Calibri" w:hAnsi="Calibri"/>
                <w:color w:val="243447"/>
                <w:sz w:val="17"/>
              </w:rPr>
              <w:t>$2.715B</w:t>
            </w:r>
          </w:p>
        </w:tc>
        <w:tc>
          <w:tcPr>
            <w:tcW w:type="dxa" w:w="4320"/>
            <w:tcMar>
              <w:top w:w="80" w:type="dxa"/>
              <w:start w:w="120" w:type="dxa"/>
              <w:bottom w:w="80" w:type="dxa"/>
              <w:end w:w="120" w:type="dxa"/>
            </w:tcMar>
            <w:vAlign w:val="top"/>
          </w:tcPr>
          <w:p>
            <w:pPr>
              <w:spacing w:after="0" w:line="259" w:lineRule="auto"/>
            </w:pPr>
            <w:r>
              <w:rPr>
                <w:rFonts w:ascii="Calibri" w:hAnsi="Calibri"/>
                <w:color w:val="243447"/>
                <w:sz w:val="17"/>
              </w:rPr>
              <w:t>Security, health, programs, parole, administration, trades and other staff.</w:t>
            </w:r>
          </w:p>
        </w:tc>
      </w:tr>
      <w:tr>
        <w:trPr>
          <w:cantSplit/>
        </w:trPr>
        <w:tc>
          <w:tcPr>
            <w:tcW w:type="dxa" w:w="3384"/>
            <w:tcMar>
              <w:top w:w="80" w:type="dxa"/>
              <w:start w:w="120" w:type="dxa"/>
              <w:bottom w:w="80" w:type="dxa"/>
              <w:end w:w="120" w:type="dxa"/>
            </w:tcMar>
            <w:vAlign w:val="top"/>
          </w:tcPr>
          <w:p>
            <w:pPr>
              <w:spacing w:after="0" w:line="259" w:lineRule="auto"/>
            </w:pPr>
            <w:r>
              <w:rPr>
                <w:rFonts w:ascii="Calibri" w:hAnsi="Calibri"/>
                <w:color w:val="243447"/>
                <w:sz w:val="17"/>
              </w:rPr>
              <w:t>Professional and special services</w:t>
            </w:r>
          </w:p>
        </w:tc>
        <w:tc>
          <w:tcPr>
            <w:tcW w:type="dxa" w:w="1655"/>
            <w:tcMar>
              <w:top w:w="80" w:type="dxa"/>
              <w:start w:w="120" w:type="dxa"/>
              <w:bottom w:w="80" w:type="dxa"/>
              <w:end w:w="120" w:type="dxa"/>
            </w:tcMar>
            <w:vAlign w:val="top"/>
          </w:tcPr>
          <w:p>
            <w:pPr>
              <w:spacing w:after="0" w:line="259" w:lineRule="auto"/>
            </w:pPr>
            <w:r>
              <w:rPr>
                <w:rFonts w:ascii="Calibri" w:hAnsi="Calibri"/>
                <w:color w:val="243447"/>
                <w:sz w:val="17"/>
              </w:rPr>
              <w:t>$463.9M</w:t>
            </w:r>
          </w:p>
        </w:tc>
        <w:tc>
          <w:tcPr>
            <w:tcW w:type="dxa" w:w="4320"/>
            <w:tcMar>
              <w:top w:w="80" w:type="dxa"/>
              <w:start w:w="120" w:type="dxa"/>
              <w:bottom w:w="80" w:type="dxa"/>
              <w:end w:w="120" w:type="dxa"/>
            </w:tcMar>
            <w:vAlign w:val="top"/>
          </w:tcPr>
          <w:p>
            <w:pPr>
              <w:spacing w:after="0" w:line="259" w:lineRule="auto"/>
            </w:pPr>
            <w:r>
              <w:rPr>
                <w:rFonts w:ascii="Calibri" w:hAnsi="Calibri"/>
                <w:color w:val="243447"/>
                <w:sz w:val="17"/>
              </w:rPr>
              <w:t>Contracted and specialized services; not solely programming.</w:t>
            </w:r>
          </w:p>
        </w:tc>
      </w:tr>
      <w:tr>
        <w:trPr>
          <w:cantSplit/>
        </w:trPr>
        <w:tc>
          <w:tcPr>
            <w:tcW w:type="dxa" w:w="3384"/>
            <w:tcMar>
              <w:top w:w="80" w:type="dxa"/>
              <w:start w:w="120" w:type="dxa"/>
              <w:bottom w:w="80" w:type="dxa"/>
              <w:end w:w="120" w:type="dxa"/>
            </w:tcMar>
            <w:vAlign w:val="top"/>
          </w:tcPr>
          <w:p>
            <w:pPr>
              <w:spacing w:after="0" w:line="259" w:lineRule="auto"/>
            </w:pPr>
            <w:r>
              <w:rPr>
                <w:rFonts w:ascii="Calibri" w:hAnsi="Calibri"/>
                <w:color w:val="243447"/>
                <w:sz w:val="17"/>
              </w:rPr>
              <w:t>Utilities, materials and supplies</w:t>
            </w:r>
          </w:p>
        </w:tc>
        <w:tc>
          <w:tcPr>
            <w:tcW w:type="dxa" w:w="1655"/>
            <w:tcMar>
              <w:top w:w="80" w:type="dxa"/>
              <w:start w:w="120" w:type="dxa"/>
              <w:bottom w:w="80" w:type="dxa"/>
              <w:end w:w="120" w:type="dxa"/>
            </w:tcMar>
            <w:vAlign w:val="top"/>
          </w:tcPr>
          <w:p>
            <w:pPr>
              <w:spacing w:after="0" w:line="259" w:lineRule="auto"/>
            </w:pPr>
            <w:r>
              <w:rPr>
                <w:rFonts w:ascii="Calibri" w:hAnsi="Calibri"/>
                <w:color w:val="243447"/>
                <w:sz w:val="17"/>
              </w:rPr>
              <w:t>$216.8M</w:t>
            </w:r>
          </w:p>
        </w:tc>
        <w:tc>
          <w:tcPr>
            <w:tcW w:type="dxa" w:w="4320"/>
            <w:tcMar>
              <w:top w:w="80" w:type="dxa"/>
              <w:start w:w="120" w:type="dxa"/>
              <w:bottom w:w="80" w:type="dxa"/>
              <w:end w:w="120" w:type="dxa"/>
            </w:tcMar>
            <w:vAlign w:val="top"/>
          </w:tcPr>
          <w:p>
            <w:pPr>
              <w:spacing w:after="0" w:line="259" w:lineRule="auto"/>
            </w:pPr>
            <w:r>
              <w:rPr>
                <w:rFonts w:ascii="Calibri" w:hAnsi="Calibri"/>
                <w:color w:val="243447"/>
                <w:sz w:val="17"/>
              </w:rPr>
              <w:t>Utilities and consumables. Food is not separately reported in the published statements.</w:t>
            </w:r>
          </w:p>
        </w:tc>
      </w:tr>
      <w:tr>
        <w:trPr>
          <w:cantSplit/>
        </w:trPr>
        <w:tc>
          <w:tcPr>
            <w:tcW w:type="dxa" w:w="3384"/>
            <w:tcMar>
              <w:top w:w="80" w:type="dxa"/>
              <w:start w:w="120" w:type="dxa"/>
              <w:bottom w:w="80" w:type="dxa"/>
              <w:end w:w="120" w:type="dxa"/>
            </w:tcMar>
            <w:vAlign w:val="top"/>
          </w:tcPr>
          <w:p>
            <w:pPr>
              <w:spacing w:after="0" w:line="259" w:lineRule="auto"/>
            </w:pPr>
            <w:r>
              <w:rPr>
                <w:rFonts w:ascii="Calibri" w:hAnsi="Calibri"/>
                <w:color w:val="243447"/>
                <w:sz w:val="17"/>
              </w:rPr>
              <w:t>Amortization</w:t>
            </w:r>
          </w:p>
        </w:tc>
        <w:tc>
          <w:tcPr>
            <w:tcW w:type="dxa" w:w="1655"/>
            <w:tcMar>
              <w:top w:w="80" w:type="dxa"/>
              <w:start w:w="120" w:type="dxa"/>
              <w:bottom w:w="80" w:type="dxa"/>
              <w:end w:w="120" w:type="dxa"/>
            </w:tcMar>
            <w:vAlign w:val="top"/>
          </w:tcPr>
          <w:p>
            <w:pPr>
              <w:spacing w:after="0" w:line="259" w:lineRule="auto"/>
            </w:pPr>
            <w:r>
              <w:rPr>
                <w:rFonts w:ascii="Calibri" w:hAnsi="Calibri"/>
                <w:color w:val="243447"/>
                <w:sz w:val="17"/>
              </w:rPr>
              <w:t>$149.7M</w:t>
            </w:r>
          </w:p>
        </w:tc>
        <w:tc>
          <w:tcPr>
            <w:tcW w:type="dxa" w:w="4320"/>
            <w:tcMar>
              <w:top w:w="80" w:type="dxa"/>
              <w:start w:w="120" w:type="dxa"/>
              <w:bottom w:w="80" w:type="dxa"/>
              <w:end w:w="120" w:type="dxa"/>
            </w:tcMar>
            <w:vAlign w:val="top"/>
          </w:tcPr>
          <w:p>
            <w:pPr>
              <w:spacing w:after="0" w:line="259" w:lineRule="auto"/>
            </w:pPr>
            <w:r>
              <w:rPr>
                <w:rFonts w:ascii="Calibri" w:hAnsi="Calibri"/>
                <w:color w:val="243447"/>
                <w:sz w:val="17"/>
              </w:rPr>
              <w:t>Accounting use of capital assets, not current-year construction cash.</w:t>
            </w:r>
          </w:p>
        </w:tc>
      </w:tr>
      <w:tr>
        <w:trPr>
          <w:cantSplit/>
        </w:trPr>
        <w:tc>
          <w:tcPr>
            <w:tcW w:type="dxa" w:w="3384"/>
            <w:tcMar>
              <w:top w:w="80" w:type="dxa"/>
              <w:start w:w="120" w:type="dxa"/>
              <w:bottom w:w="80" w:type="dxa"/>
              <w:end w:w="120" w:type="dxa"/>
            </w:tcMar>
            <w:vAlign w:val="top"/>
          </w:tcPr>
          <w:p>
            <w:pPr>
              <w:spacing w:after="0" w:line="259" w:lineRule="auto"/>
            </w:pPr>
            <w:r>
              <w:rPr>
                <w:rFonts w:ascii="Calibri" w:hAnsi="Calibri"/>
                <w:color w:val="243447"/>
                <w:sz w:val="17"/>
              </w:rPr>
              <w:t>Rentals / payments in lieu of taxes</w:t>
            </w:r>
          </w:p>
        </w:tc>
        <w:tc>
          <w:tcPr>
            <w:tcW w:type="dxa" w:w="1655"/>
            <w:tcMar>
              <w:top w:w="80" w:type="dxa"/>
              <w:start w:w="120" w:type="dxa"/>
              <w:bottom w:w="80" w:type="dxa"/>
              <w:end w:w="120" w:type="dxa"/>
            </w:tcMar>
            <w:vAlign w:val="top"/>
          </w:tcPr>
          <w:p>
            <w:pPr>
              <w:spacing w:after="0" w:line="259" w:lineRule="auto"/>
            </w:pPr>
            <w:r>
              <w:rPr>
                <w:rFonts w:ascii="Calibri" w:hAnsi="Calibri"/>
                <w:color w:val="243447"/>
                <w:sz w:val="17"/>
              </w:rPr>
              <w:t>$75.3M</w:t>
            </w:r>
          </w:p>
        </w:tc>
        <w:tc>
          <w:tcPr>
            <w:tcW w:type="dxa" w:w="4320"/>
            <w:tcMar>
              <w:top w:w="80" w:type="dxa"/>
              <w:start w:w="120" w:type="dxa"/>
              <w:bottom w:w="80" w:type="dxa"/>
              <w:end w:w="120" w:type="dxa"/>
            </w:tcMar>
            <w:vAlign w:val="top"/>
          </w:tcPr>
          <w:p>
            <w:pPr>
              <w:spacing w:after="0" w:line="259" w:lineRule="auto"/>
            </w:pPr>
            <w:r>
              <w:rPr>
                <w:rFonts w:ascii="Calibri" w:hAnsi="Calibri"/>
                <w:color w:val="243447"/>
                <w:sz w:val="17"/>
              </w:rPr>
              <w:t>Facilities-related categories.</w:t>
            </w:r>
          </w:p>
        </w:tc>
      </w:tr>
      <w:tr>
        <w:trPr>
          <w:cantSplit/>
        </w:trPr>
        <w:tc>
          <w:tcPr>
            <w:tcW w:type="dxa" w:w="3384"/>
            <w:tcMar>
              <w:top w:w="80" w:type="dxa"/>
              <w:start w:w="120" w:type="dxa"/>
              <w:bottom w:w="80" w:type="dxa"/>
              <w:end w:w="120" w:type="dxa"/>
            </w:tcMar>
            <w:vAlign w:val="top"/>
          </w:tcPr>
          <w:p>
            <w:pPr>
              <w:spacing w:after="0" w:line="259" w:lineRule="auto"/>
            </w:pPr>
            <w:r>
              <w:rPr>
                <w:rFonts w:ascii="Calibri" w:hAnsi="Calibri"/>
                <w:color w:val="243447"/>
                <w:sz w:val="17"/>
              </w:rPr>
              <w:t>Repairs and maintenance</w:t>
            </w:r>
          </w:p>
        </w:tc>
        <w:tc>
          <w:tcPr>
            <w:tcW w:type="dxa" w:w="1655"/>
            <w:tcMar>
              <w:top w:w="80" w:type="dxa"/>
              <w:start w:w="120" w:type="dxa"/>
              <w:bottom w:w="80" w:type="dxa"/>
              <w:end w:w="120" w:type="dxa"/>
            </w:tcMar>
            <w:vAlign w:val="top"/>
          </w:tcPr>
          <w:p>
            <w:pPr>
              <w:spacing w:after="0" w:line="259" w:lineRule="auto"/>
            </w:pPr>
            <w:r>
              <w:rPr>
                <w:rFonts w:ascii="Calibri" w:hAnsi="Calibri"/>
                <w:color w:val="243447"/>
                <w:sz w:val="17"/>
              </w:rPr>
              <w:t>$22.3M</w:t>
            </w:r>
          </w:p>
        </w:tc>
        <w:tc>
          <w:tcPr>
            <w:tcW w:type="dxa" w:w="4320"/>
            <w:tcMar>
              <w:top w:w="80" w:type="dxa"/>
              <w:start w:w="120" w:type="dxa"/>
              <w:bottom w:w="80" w:type="dxa"/>
              <w:end w:w="120" w:type="dxa"/>
            </w:tcMar>
            <w:vAlign w:val="top"/>
          </w:tcPr>
          <w:p>
            <w:pPr>
              <w:spacing w:after="0" w:line="259" w:lineRule="auto"/>
            </w:pPr>
            <w:r>
              <w:rPr>
                <w:rFonts w:ascii="Calibri" w:hAnsi="Calibri"/>
                <w:color w:val="243447"/>
                <w:sz w:val="17"/>
              </w:rPr>
              <w:t>A discrete repair line; institutional maintenance also uses staff and other categories.</w:t>
            </w:r>
          </w:p>
        </w:tc>
      </w:tr>
      <w:tr>
        <w:trPr>
          <w:cantSplit/>
        </w:trPr>
        <w:tc>
          <w:tcPr>
            <w:tcW w:type="dxa" w:w="3384"/>
            <w:tcMar>
              <w:top w:w="80" w:type="dxa"/>
              <w:start w:w="120" w:type="dxa"/>
              <w:bottom w:w="80" w:type="dxa"/>
              <w:end w:w="120" w:type="dxa"/>
            </w:tcMar>
            <w:vAlign w:val="top"/>
          </w:tcPr>
          <w:p>
            <w:pPr>
              <w:spacing w:after="0" w:line="259" w:lineRule="auto"/>
            </w:pPr>
            <w:r>
              <w:rPr>
                <w:rFonts w:ascii="Calibri" w:hAnsi="Calibri"/>
                <w:color w:val="243447"/>
                <w:sz w:val="17"/>
              </w:rPr>
              <w:t>Inmate pay</w:t>
            </w:r>
          </w:p>
        </w:tc>
        <w:tc>
          <w:tcPr>
            <w:tcW w:type="dxa" w:w="1655"/>
            <w:tcMar>
              <w:top w:w="80" w:type="dxa"/>
              <w:start w:w="120" w:type="dxa"/>
              <w:bottom w:w="80" w:type="dxa"/>
              <w:end w:w="120" w:type="dxa"/>
            </w:tcMar>
            <w:vAlign w:val="top"/>
          </w:tcPr>
          <w:p>
            <w:pPr>
              <w:spacing w:after="0" w:line="259" w:lineRule="auto"/>
            </w:pPr>
            <w:r>
              <w:rPr>
                <w:rFonts w:ascii="Calibri" w:hAnsi="Calibri"/>
                <w:color w:val="243447"/>
                <w:sz w:val="17"/>
              </w:rPr>
              <w:t>$17.9M</w:t>
            </w:r>
          </w:p>
        </w:tc>
        <w:tc>
          <w:tcPr>
            <w:tcW w:type="dxa" w:w="4320"/>
            <w:tcMar>
              <w:top w:w="80" w:type="dxa"/>
              <w:start w:w="120" w:type="dxa"/>
              <w:bottom w:w="80" w:type="dxa"/>
              <w:end w:w="120" w:type="dxa"/>
            </w:tcMar>
            <w:vAlign w:val="top"/>
          </w:tcPr>
          <w:p>
            <w:pPr>
              <w:spacing w:after="0" w:line="259" w:lineRule="auto"/>
            </w:pPr>
            <w:r>
              <w:rPr>
                <w:rFonts w:ascii="Calibri" w:hAnsi="Calibri"/>
                <w:color w:val="243447"/>
                <w:sz w:val="17"/>
              </w:rPr>
              <w:t>Compensation paid to incarcerated people.</w:t>
            </w:r>
          </w:p>
        </w:tc>
      </w:tr>
    </w:tbl>
    <w:p>
      <w:pPr>
        <w:spacing w:after="0"/>
      </w:pPr>
    </w:p>
    <w:p>
      <w:r>
        <w:t>Source: CSC financial statements. [10] “Security” is principally embedded in payroll and care-and-custody operations; “programs” span the correctional-interventions result and other accounts. Any political claim that removes one line item and calls the balance “waste” is analytically unsound.</w:t>
      </w:r>
    </w:p>
    <w:p>
      <w:pPr>
        <w:pStyle w:val="Heading1"/>
      </w:pPr>
      <w:r>
        <w:t>3. What the evidence says about outcomes</w:t>
      </w:r>
    </w:p>
    <w:p>
      <w:pPr>
        <w:pStyle w:val="Heading2"/>
      </w:pPr>
      <w:r>
        <w:t>Custody is not generally superior at reducing reoffending</w:t>
      </w:r>
    </w:p>
    <w:p>
      <w:r>
        <w:t>The best broad synthesis is modest but important: for comparable people, custodial sanctions do not show a general recidivism advantage over non-custodial sanctions. The 2021 meta-analysis reported a small average increase in reoffending after custody, while emphasizing study quality and selection bias. [13] The Campbell review found no clear difference among higher-quality studies and more negative custodial effects among weaker designs. [14] These findings support restraint; they do not prove that every person will do better under house arrest.</w:t>
      </w:r>
    </w:p>
    <w:p>
      <w:pPr>
        <w:pStyle w:val="Heading2"/>
      </w:pPr>
      <w:r>
        <w:t>Electronic monitoring is a tool, not a treatment</w:t>
      </w:r>
    </w:p>
    <w:p>
      <w:r>
        <w:t>A 2020 systematic review found overall favourable effects for electronic monitoring across a heterogeneous evidence base, with results varying by population, program and comparison group. [15] A Canadian federal pilot matched 770 monitored people with comparison cases and found lower return-to-custody risk, more employment and more suspensions that were later cancelled; because assignment was not random, unmeasured selection remains a plausible explanation for part of the difference. [16]</w:t>
      </w:r>
    </w:p>
    <w:p>
      <w:r>
        <w:t>Monitoring works best as a platform for a coherent plan: stable housing, a permitted work route, rapid access to addictions and mental-health treatment, pro-social contact, and graduated responses to technical non-compliance. A device without those supports may detect failure more efficiently while doing little to change its causes.</w:t>
      </w:r>
    </w:p>
    <w:p>
      <w:pPr>
        <w:pStyle w:val="Heading2"/>
      </w:pPr>
      <w:r>
        <w:t>The central implementation risk is net-widening</w:t>
      </w:r>
    </w:p>
    <w:p>
      <w:r>
        <w:t>A historic Canadian evaluation warned that electronic monitoring can be imposed on people who otherwise would have received ordinary probation. [18] That increases surveillance, breaches and cost without displacing custody. The correct denominator for success is therefore not “number of bracelets fitted.” It is verified jail-days avoided among people who otherwise would have been detained or incarcerated, without an increase in serious harm.</w:t>
      </w:r>
    </w:p>
    <w:tbl>
      <w:tblPr>
        <w:tblW w:type="auto" w:w="0"/>
        <w:jc w:val="left"/>
        <w:tblLayout w:type="fixed"/>
        <w:tblLook w:firstColumn="1" w:firstRow="1" w:lastColumn="0" w:lastRow="0" w:noHBand="0" w:noVBand="1" w:val="04A0"/>
      </w:tblPr>
      <w:tblGrid>
        <w:gridCol w:w="9360"/>
      </w:tblGrid>
      <w:tr>
        <w:tc>
          <w:tcPr>
            <w:tcW w:type="dxa" w:w="9360"/>
            <w:shd w:fill="EAF2F8"/>
            <w:tcMar>
              <w:top w:w="150" w:type="dxa"/>
              <w:start w:w="180" w:type="dxa"/>
              <w:bottom w:w="150" w:type="dxa"/>
              <w:end w:w="180" w:type="dxa"/>
            </w:tcMar>
            <w:tcBorders>
              <w:start w:val="single" w:sz="18" w:color="2E74B5"/>
            </w:tcBorders>
          </w:tcPr>
          <w:p>
            <w:pPr>
              <w:spacing w:after="80"/>
            </w:pPr>
            <w:r>
              <w:rPr>
                <w:rFonts w:ascii="Calibri" w:hAnsi="Calibri"/>
                <w:b/>
                <w:color w:val="2E74B5"/>
                <w:sz w:val="20"/>
              </w:rPr>
              <w:t>Evidence standard</w:t>
            </w:r>
          </w:p>
          <w:p>
            <w:pPr>
              <w:spacing w:after="0"/>
            </w:pPr>
            <w:r>
              <w:rPr>
                <w:rFonts w:ascii="Calibri" w:hAnsi="Calibri"/>
                <w:color w:val="243447"/>
                <w:sz w:val="20"/>
              </w:rPr>
              <w:t>Treat electronic monitoring as promising and testable, not magical. Publish a comparison group, eligibility reasons, jail-days actually displaced, all-in public costs, technical violations, serious reoffending and victim outcomes.</w:t>
            </w:r>
          </w:p>
        </w:tc>
      </w:tr>
    </w:tbl>
    <w:p>
      <w:pPr>
        <w:pStyle w:val="Heading1"/>
      </w:pPr>
      <w:r>
        <w:t>4. A victim-centred community-custody model</w:t>
      </w:r>
    </w:p>
    <w:p>
      <w:pPr>
        <w:pStyle w:val="Heading2"/>
      </w:pPr>
      <w:r>
        <w:t>A bracelet can make avoidance practical—but cannot guarantee safety</w:t>
      </w:r>
    </w:p>
    <w:p>
      <w:r>
        <w:t>For a person who has received credible threats, predictable geographic restrictions can be more usable than the abstract knowledge that an accused is “somewhere in the community” or inside an institution with opportunities for illicit communication and interpersonal violence. A protected person can avoid a defined home zone and know the permitted work corridor. Police can receive a high-priority alert if the monitored person approaches an exclusion zone or tampers with the device.</w:t>
      </w:r>
    </w:p>
    <w:p>
      <w:r>
        <w:t>That benefit must be stated honestly. GPS does not restrain limbs, stop a weapon, prevent a third party from carrying a message, or guarantee signal coverage. Police response is not instantaneous. The safety promise should therefore be a measurable reduction in exposure and a faster response—not absolute protection.</w:t>
      </w:r>
    </w:p>
    <w:tbl>
      <w:tblPr>
        <w:tblStyle w:val="TableGrid"/>
        <w:tblW w:type="auto" w:w="0"/>
        <w:jc w:val="left"/>
        <w:tblLayout w:type="fixed"/>
        <w:tblLook w:firstColumn="1" w:firstRow="1" w:lastColumn="0" w:lastRow="0" w:noHBand="0" w:noVBand="1" w:val="04A0"/>
      </w:tblPr>
      <w:tblGrid>
        <w:gridCol w:w="4680"/>
        <w:gridCol w:w="4680"/>
      </w:tblGrid>
      <w:tr>
        <w:trPr>
          <w:tblHeader w:val="true"/>
          <w:cantSplit/>
        </w:trPr>
        <w:tc>
          <w:tcPr>
            <w:tcW w:type="dxa" w:w="2304"/>
            <w:shd w:fill="F4F6F9"/>
            <w:tcMar>
              <w:top w:w="80" w:type="dxa"/>
              <w:start w:w="120" w:type="dxa"/>
              <w:bottom w:w="80" w:type="dxa"/>
              <w:end w:w="120" w:type="dxa"/>
            </w:tcMar>
            <w:vAlign w:val="center"/>
          </w:tcPr>
          <w:p>
            <w:pPr>
              <w:spacing w:after="0"/>
            </w:pPr>
            <w:r>
              <w:rPr>
                <w:rFonts w:ascii="Calibri" w:hAnsi="Calibri"/>
                <w:b/>
                <w:color w:val="1F4D78"/>
                <w:sz w:val="17"/>
              </w:rPr>
              <w:t>Safety layer</w:t>
            </w:r>
          </w:p>
        </w:tc>
        <w:tc>
          <w:tcPr>
            <w:tcW w:type="dxa" w:w="7056"/>
            <w:shd w:fill="F4F6F9"/>
            <w:tcMar>
              <w:top w:w="80" w:type="dxa"/>
              <w:start w:w="120" w:type="dxa"/>
              <w:bottom w:w="80" w:type="dxa"/>
              <w:end w:w="120" w:type="dxa"/>
            </w:tcMar>
            <w:vAlign w:val="center"/>
          </w:tcPr>
          <w:p>
            <w:pPr>
              <w:spacing w:after="0"/>
            </w:pPr>
            <w:r>
              <w:rPr>
                <w:rFonts w:ascii="Calibri" w:hAnsi="Calibri"/>
                <w:b/>
                <w:color w:val="1F4D78"/>
                <w:sz w:val="17"/>
              </w:rPr>
              <w:t>Minimum operating standard</w:t>
            </w:r>
          </w:p>
        </w:tc>
      </w:tr>
      <w:tr>
        <w:trPr>
          <w:cantSplit/>
        </w:trPr>
        <w:tc>
          <w:tcPr>
            <w:tcW w:type="dxa" w:w="2304"/>
            <w:tcMar>
              <w:top w:w="80" w:type="dxa"/>
              <w:start w:w="120" w:type="dxa"/>
              <w:bottom w:w="80" w:type="dxa"/>
              <w:end w:w="120" w:type="dxa"/>
            </w:tcMar>
            <w:vAlign w:val="top"/>
          </w:tcPr>
          <w:p>
            <w:pPr>
              <w:spacing w:after="0" w:line="259" w:lineRule="auto"/>
            </w:pPr>
            <w:r>
              <w:rPr>
                <w:rFonts w:ascii="Calibri" w:hAnsi="Calibri"/>
                <w:color w:val="243447"/>
                <w:sz w:val="17"/>
              </w:rPr>
              <w:t>Static exclusion</w:t>
            </w:r>
          </w:p>
        </w:tc>
        <w:tc>
          <w:tcPr>
            <w:tcW w:type="dxa" w:w="7056"/>
            <w:tcMar>
              <w:top w:w="80" w:type="dxa"/>
              <w:start w:w="120" w:type="dxa"/>
              <w:bottom w:w="80" w:type="dxa"/>
              <w:end w:w="120" w:type="dxa"/>
            </w:tcMar>
            <w:vAlign w:val="top"/>
          </w:tcPr>
          <w:p>
            <w:pPr>
              <w:spacing w:after="0" w:line="259" w:lineRule="auto"/>
            </w:pPr>
            <w:r>
              <w:rPr>
                <w:rFonts w:ascii="Calibri" w:hAnsi="Calibri"/>
                <w:color w:val="243447"/>
                <w:sz w:val="17"/>
              </w:rPr>
              <w:t>Court-defined no-go zones around the protected person’s home, work, school and regularly used places, with a buffer calibrated to response time.</w:t>
            </w:r>
          </w:p>
        </w:tc>
      </w:tr>
      <w:tr>
        <w:trPr>
          <w:cantSplit/>
        </w:trPr>
        <w:tc>
          <w:tcPr>
            <w:tcW w:type="dxa" w:w="2304"/>
            <w:tcMar>
              <w:top w:w="80" w:type="dxa"/>
              <w:start w:w="120" w:type="dxa"/>
              <w:bottom w:w="80" w:type="dxa"/>
              <w:end w:w="120" w:type="dxa"/>
            </w:tcMar>
            <w:vAlign w:val="top"/>
          </w:tcPr>
          <w:p>
            <w:pPr>
              <w:spacing w:after="0" w:line="259" w:lineRule="auto"/>
            </w:pPr>
            <w:r>
              <w:rPr>
                <w:rFonts w:ascii="Calibri" w:hAnsi="Calibri"/>
                <w:color w:val="243447"/>
                <w:sz w:val="17"/>
              </w:rPr>
              <w:t>Dynamic exclusion</w:t>
            </w:r>
          </w:p>
        </w:tc>
        <w:tc>
          <w:tcPr>
            <w:tcW w:type="dxa" w:w="7056"/>
            <w:tcMar>
              <w:top w:w="80" w:type="dxa"/>
              <w:start w:w="120" w:type="dxa"/>
              <w:bottom w:w="80" w:type="dxa"/>
              <w:end w:w="120" w:type="dxa"/>
            </w:tcMar>
            <w:vAlign w:val="top"/>
          </w:tcPr>
          <w:p>
            <w:pPr>
              <w:spacing w:after="0" w:line="259" w:lineRule="auto"/>
            </w:pPr>
            <w:r>
              <w:rPr>
                <w:rFonts w:ascii="Calibri" w:hAnsi="Calibri"/>
                <w:color w:val="243447"/>
                <w:sz w:val="17"/>
              </w:rPr>
              <w:t>Optional, consent-based victim-location protection using separate data stores; disclose no victim coordinates to the monitored person.</w:t>
            </w:r>
          </w:p>
        </w:tc>
      </w:tr>
      <w:tr>
        <w:trPr>
          <w:cantSplit/>
        </w:trPr>
        <w:tc>
          <w:tcPr>
            <w:tcW w:type="dxa" w:w="2304"/>
            <w:tcMar>
              <w:top w:w="80" w:type="dxa"/>
              <w:start w:w="120" w:type="dxa"/>
              <w:bottom w:w="80" w:type="dxa"/>
              <w:end w:w="120" w:type="dxa"/>
            </w:tcMar>
            <w:vAlign w:val="top"/>
          </w:tcPr>
          <w:p>
            <w:pPr>
              <w:spacing w:after="0" w:line="259" w:lineRule="auto"/>
            </w:pPr>
            <w:r>
              <w:rPr>
                <w:rFonts w:ascii="Calibri" w:hAnsi="Calibri"/>
                <w:color w:val="243447"/>
                <w:sz w:val="17"/>
              </w:rPr>
              <w:t>Permitted movement</w:t>
            </w:r>
          </w:p>
        </w:tc>
        <w:tc>
          <w:tcPr>
            <w:tcW w:type="dxa" w:w="7056"/>
            <w:tcMar>
              <w:top w:w="80" w:type="dxa"/>
              <w:start w:w="120" w:type="dxa"/>
              <w:bottom w:w="80" w:type="dxa"/>
              <w:end w:w="120" w:type="dxa"/>
            </w:tcMar>
            <w:vAlign w:val="top"/>
          </w:tcPr>
          <w:p>
            <w:pPr>
              <w:spacing w:after="0" w:line="259" w:lineRule="auto"/>
            </w:pPr>
            <w:r>
              <w:rPr>
                <w:rFonts w:ascii="Calibri" w:hAnsi="Calibri"/>
                <w:color w:val="243447"/>
                <w:sz w:val="17"/>
              </w:rPr>
              <w:t>Narrow home, work, treatment, family and essential-service routes and time windows; changes require recorded approval.</w:t>
            </w:r>
          </w:p>
        </w:tc>
      </w:tr>
      <w:tr>
        <w:trPr>
          <w:cantSplit/>
        </w:trPr>
        <w:tc>
          <w:tcPr>
            <w:tcW w:type="dxa" w:w="2304"/>
            <w:tcMar>
              <w:top w:w="80" w:type="dxa"/>
              <w:start w:w="120" w:type="dxa"/>
              <w:bottom w:w="80" w:type="dxa"/>
              <w:end w:w="120" w:type="dxa"/>
            </w:tcMar>
            <w:vAlign w:val="top"/>
          </w:tcPr>
          <w:p>
            <w:pPr>
              <w:spacing w:after="0" w:line="259" w:lineRule="auto"/>
            </w:pPr>
            <w:r>
              <w:rPr>
                <w:rFonts w:ascii="Calibri" w:hAnsi="Calibri"/>
                <w:color w:val="243447"/>
                <w:sz w:val="17"/>
              </w:rPr>
              <w:t>Alert triage</w:t>
            </w:r>
          </w:p>
        </w:tc>
        <w:tc>
          <w:tcPr>
            <w:tcW w:type="dxa" w:w="7056"/>
            <w:tcMar>
              <w:top w:w="80" w:type="dxa"/>
              <w:start w:w="120" w:type="dxa"/>
              <w:bottom w:w="80" w:type="dxa"/>
              <w:end w:w="120" w:type="dxa"/>
            </w:tcMar>
            <w:vAlign w:val="top"/>
          </w:tcPr>
          <w:p>
            <w:pPr>
              <w:spacing w:after="0" w:line="259" w:lineRule="auto"/>
            </w:pPr>
            <w:r>
              <w:rPr>
                <w:rFonts w:ascii="Calibri" w:hAnsi="Calibri"/>
                <w:color w:val="243447"/>
                <w:sz w:val="17"/>
              </w:rPr>
              <w:t>Priority 1 for victim-zone entry, credible tamper or prohibited contact; lower tiers for charging and schedule anomalies after human verification.</w:t>
            </w:r>
          </w:p>
        </w:tc>
      </w:tr>
      <w:tr>
        <w:trPr>
          <w:cantSplit/>
        </w:trPr>
        <w:tc>
          <w:tcPr>
            <w:tcW w:type="dxa" w:w="2304"/>
            <w:tcMar>
              <w:top w:w="80" w:type="dxa"/>
              <w:start w:w="120" w:type="dxa"/>
              <w:bottom w:w="80" w:type="dxa"/>
              <w:end w:w="120" w:type="dxa"/>
            </w:tcMar>
            <w:vAlign w:val="top"/>
          </w:tcPr>
          <w:p>
            <w:pPr>
              <w:spacing w:after="0" w:line="259" w:lineRule="auto"/>
            </w:pPr>
            <w:r>
              <w:rPr>
                <w:rFonts w:ascii="Calibri" w:hAnsi="Calibri"/>
                <w:color w:val="243447"/>
                <w:sz w:val="17"/>
              </w:rPr>
              <w:t>Victim liaison</w:t>
            </w:r>
          </w:p>
        </w:tc>
        <w:tc>
          <w:tcPr>
            <w:tcW w:type="dxa" w:w="7056"/>
            <w:tcMar>
              <w:top w:w="80" w:type="dxa"/>
              <w:start w:w="120" w:type="dxa"/>
              <w:bottom w:w="80" w:type="dxa"/>
              <w:end w:w="120" w:type="dxa"/>
            </w:tcMar>
            <w:vAlign w:val="top"/>
          </w:tcPr>
          <w:p>
            <w:pPr>
              <w:spacing w:after="0" w:line="259" w:lineRule="auto"/>
            </w:pPr>
            <w:r>
              <w:rPr>
                <w:rFonts w:ascii="Calibri" w:hAnsi="Calibri"/>
                <w:color w:val="243447"/>
                <w:sz w:val="17"/>
              </w:rPr>
              <w:t>One contact for plan design, notification choices, safety technology and explanation of limitations.</w:t>
            </w:r>
          </w:p>
        </w:tc>
      </w:tr>
      <w:tr>
        <w:trPr>
          <w:cantSplit/>
        </w:trPr>
        <w:tc>
          <w:tcPr>
            <w:tcW w:type="dxa" w:w="2304"/>
            <w:tcMar>
              <w:top w:w="80" w:type="dxa"/>
              <w:start w:w="120" w:type="dxa"/>
              <w:bottom w:w="80" w:type="dxa"/>
              <w:end w:w="120" w:type="dxa"/>
            </w:tcMar>
            <w:vAlign w:val="top"/>
          </w:tcPr>
          <w:p>
            <w:pPr>
              <w:spacing w:after="0" w:line="259" w:lineRule="auto"/>
            </w:pPr>
            <w:r>
              <w:rPr>
                <w:rFonts w:ascii="Calibri" w:hAnsi="Calibri"/>
                <w:color w:val="243447"/>
                <w:sz w:val="17"/>
              </w:rPr>
              <w:t>Response</w:t>
            </w:r>
          </w:p>
        </w:tc>
        <w:tc>
          <w:tcPr>
            <w:tcW w:type="dxa" w:w="7056"/>
            <w:tcMar>
              <w:top w:w="80" w:type="dxa"/>
              <w:start w:w="120" w:type="dxa"/>
              <w:bottom w:w="80" w:type="dxa"/>
              <w:end w:w="120" w:type="dxa"/>
            </w:tcMar>
            <w:vAlign w:val="top"/>
          </w:tcPr>
          <w:p>
            <w:pPr>
              <w:spacing w:after="0" w:line="259" w:lineRule="auto"/>
            </w:pPr>
            <w:r>
              <w:rPr>
                <w:rFonts w:ascii="Calibri" w:hAnsi="Calibri"/>
                <w:color w:val="243447"/>
                <w:sz w:val="17"/>
              </w:rPr>
              <w:t>24/7 staffed centre with published dispatch targets, police protocols and incident review.</w:t>
            </w:r>
          </w:p>
        </w:tc>
      </w:tr>
      <w:tr>
        <w:trPr>
          <w:cantSplit/>
        </w:trPr>
        <w:tc>
          <w:tcPr>
            <w:tcW w:type="dxa" w:w="2304"/>
            <w:tcMar>
              <w:top w:w="80" w:type="dxa"/>
              <w:start w:w="120" w:type="dxa"/>
              <w:bottom w:w="80" w:type="dxa"/>
              <w:end w:w="120" w:type="dxa"/>
            </w:tcMar>
            <w:vAlign w:val="top"/>
          </w:tcPr>
          <w:p>
            <w:pPr>
              <w:spacing w:after="0" w:line="259" w:lineRule="auto"/>
            </w:pPr>
            <w:r>
              <w:rPr>
                <w:rFonts w:ascii="Calibri" w:hAnsi="Calibri"/>
                <w:color w:val="243447"/>
                <w:sz w:val="17"/>
              </w:rPr>
              <w:t>Privacy</w:t>
            </w:r>
          </w:p>
        </w:tc>
        <w:tc>
          <w:tcPr>
            <w:tcW w:type="dxa" w:w="7056"/>
            <w:tcMar>
              <w:top w:w="80" w:type="dxa"/>
              <w:start w:w="120" w:type="dxa"/>
              <w:bottom w:w="80" w:type="dxa"/>
              <w:end w:w="120" w:type="dxa"/>
            </w:tcMar>
            <w:vAlign w:val="top"/>
          </w:tcPr>
          <w:p>
            <w:pPr>
              <w:spacing w:after="0" w:line="259" w:lineRule="auto"/>
            </w:pPr>
            <w:r>
              <w:rPr>
                <w:rFonts w:ascii="Calibri" w:hAnsi="Calibri"/>
                <w:color w:val="243447"/>
                <w:sz w:val="17"/>
              </w:rPr>
              <w:t>Location access restricted by role; retention limited; access logged; data barred from unrelated intelligence fishing.</w:t>
            </w:r>
          </w:p>
        </w:tc>
      </w:tr>
    </w:tbl>
    <w:p>
      <w:pPr>
        <w:spacing w:after="0"/>
      </w:pPr>
    </w:p>
    <w:p>
      <w:pPr>
        <w:pStyle w:val="Heading1"/>
      </w:pPr>
      <w:r>
        <w:t>5. Eligibility, proportionality and due process</w:t>
      </w:r>
    </w:p>
    <w:p>
      <w:pPr>
        <w:pStyle w:val="Heading2"/>
      </w:pPr>
      <w:r>
        <w:t>Who should be eligible</w:t>
      </w:r>
    </w:p>
    <w:p>
      <w:pPr>
        <w:pStyle w:val="ListBullet"/>
      </w:pPr>
      <w:r>
        <w:t>People whose assessed risk can be managed with enforceable conditions, including many non-violent offences and selected violent cases after individualized assessment.</w:t>
      </w:r>
    </w:p>
    <w:p>
      <w:pPr>
        <w:pStyle w:val="ListBullet"/>
      </w:pPr>
      <w:r>
        <w:t>People for whom the order demonstrably replaces remand, a custodial sentence, or a residential condition more restrictive than ordinary release.</w:t>
      </w:r>
    </w:p>
    <w:p>
      <w:pPr>
        <w:pStyle w:val="ListBullet"/>
      </w:pPr>
      <w:r>
        <w:t>People with a viable residence or a funded supervised-housing placement; lack of wealth, a phone or a private home cannot be an exclusion criterion.</w:t>
      </w:r>
    </w:p>
    <w:p>
      <w:pPr>
        <w:pStyle w:val="ListBullet"/>
      </w:pPr>
      <w:r>
        <w:t>People able to understand the rules, with disability and language accommodations and a rapid mechanism to correct device or schedule errors.</w:t>
      </w:r>
    </w:p>
    <w:p>
      <w:pPr>
        <w:pStyle w:val="Heading2"/>
      </w:pPr>
      <w:r>
        <w:t>Who requires exclusion or enhanced scrutiny</w:t>
      </w:r>
    </w:p>
    <w:p>
      <w:pPr>
        <w:pStyle w:val="ListBullet"/>
      </w:pPr>
      <w:r>
        <w:t>A person presenting an imminent violence, coercive-control, witness-interference or flight risk that response services cannot contain.</w:t>
      </w:r>
    </w:p>
    <w:p>
      <w:pPr>
        <w:pStyle w:val="ListBullet"/>
      </w:pPr>
      <w:r>
        <w:t>A proposed residence that places a victim or vulnerable co-resident at risk.</w:t>
      </w:r>
    </w:p>
    <w:p>
      <w:pPr>
        <w:pStyle w:val="ListBullet"/>
      </w:pPr>
      <w:r>
        <w:t>A history of serious monitored breaches, device tampering or third-party circumvention that makes the proposed controls unreliable.</w:t>
      </w:r>
    </w:p>
    <w:p>
      <w:pPr>
        <w:pStyle w:val="ListBullet"/>
      </w:pPr>
      <w:r>
        <w:t>Cases statutorily excluded from a conditional sentence; the policy cannot override Parliament’s eligibility rules. [3]</w:t>
      </w:r>
    </w:p>
    <w:p>
      <w:pPr>
        <w:pStyle w:val="Heading2"/>
      </w:pPr>
      <w:r>
        <w:t>A breach should trigger a calibrated response</w:t>
      </w:r>
    </w:p>
    <w:p>
      <w:r>
        <w:t>Technical non-compliance is not equal to new violence. A dead battery, late bus, approved employer overtime and entry into a protected zone require different responses. The service should use an evidence-based escalation ladder: verify; contact; correct logistics; temporarily tighten conditions; bring the matter to court; arrest when there is credible danger, deliberate evasion or a serious breach. Automatic incarceration for every device alert would recreate prison through technology.</w:t>
      </w:r>
    </w:p>
    <w:p>
      <w:pPr>
        <w:pStyle w:val="Heading2"/>
      </w:pPr>
      <w:r>
        <w:t>Fairness requires a challenge mechanism</w:t>
      </w:r>
    </w:p>
    <w:p>
      <w:r>
        <w:t>Every monitored person should receive plain-language rules, a map, permitted times, charging instructions, disability accommodations and 24/7 help. Device records used to allege a breach must be preserved and disclosed, including uncertainty and outage logs. A court should be able to review both the original restriction and its practical operation quickly.</w:t>
      </w:r>
    </w:p>
    <w:p>
      <w:pPr>
        <w:pStyle w:val="Heading1"/>
      </w:pPr>
      <w:r>
        <w:t>6. Implementation, economics and evaluation</w:t>
      </w:r>
    </w:p>
    <w:p>
      <w:pPr>
        <w:pStyle w:val="Heading2"/>
      </w:pPr>
      <w:r>
        <w:t>A three-stage B.C. pilot</w:t>
      </w:r>
    </w:p>
    <w:tbl>
      <w:tblPr>
        <w:tblStyle w:val="TableGrid"/>
        <w:tblW w:type="auto" w:w="0"/>
        <w:jc w:val="left"/>
        <w:tblLayout w:type="fixed"/>
        <w:tblLook w:firstColumn="1" w:firstRow="1" w:lastColumn="0" w:lastRow="0" w:noHBand="0" w:noVBand="1" w:val="04A0"/>
      </w:tblPr>
      <w:tblGrid>
        <w:gridCol w:w="3120"/>
        <w:gridCol w:w="3120"/>
        <w:gridCol w:w="3120"/>
      </w:tblGrid>
      <w:tr>
        <w:trPr>
          <w:tblHeader w:val="true"/>
          <w:cantSplit/>
        </w:trPr>
        <w:tc>
          <w:tcPr>
            <w:tcW w:type="dxa" w:w="2088"/>
            <w:shd w:fill="F4F6F9"/>
            <w:tcMar>
              <w:top w:w="80" w:type="dxa"/>
              <w:start w:w="120" w:type="dxa"/>
              <w:bottom w:w="80" w:type="dxa"/>
              <w:end w:w="120" w:type="dxa"/>
            </w:tcMar>
            <w:vAlign w:val="center"/>
          </w:tcPr>
          <w:p>
            <w:pPr>
              <w:spacing w:after="0"/>
            </w:pPr>
            <w:r>
              <w:rPr>
                <w:rFonts w:ascii="Calibri" w:hAnsi="Calibri"/>
                <w:b/>
                <w:color w:val="1F4D78"/>
                <w:sz w:val="17"/>
              </w:rPr>
              <w:t>Stage</w:t>
            </w:r>
          </w:p>
        </w:tc>
        <w:tc>
          <w:tcPr>
            <w:tcW w:type="dxa" w:w="5112"/>
            <w:shd w:fill="F4F6F9"/>
            <w:tcMar>
              <w:top w:w="80" w:type="dxa"/>
              <w:start w:w="120" w:type="dxa"/>
              <w:bottom w:w="80" w:type="dxa"/>
              <w:end w:w="120" w:type="dxa"/>
            </w:tcMar>
            <w:vAlign w:val="center"/>
          </w:tcPr>
          <w:p>
            <w:pPr>
              <w:spacing w:after="0"/>
            </w:pPr>
            <w:r>
              <w:rPr>
                <w:rFonts w:ascii="Calibri" w:hAnsi="Calibri"/>
                <w:b/>
                <w:color w:val="1F4D78"/>
                <w:sz w:val="17"/>
              </w:rPr>
              <w:t>Scope</w:t>
            </w:r>
          </w:p>
        </w:tc>
        <w:tc>
          <w:tcPr>
            <w:tcW w:type="dxa" w:w="2160"/>
            <w:shd w:fill="F4F6F9"/>
            <w:tcMar>
              <w:top w:w="80" w:type="dxa"/>
              <w:start w:w="120" w:type="dxa"/>
              <w:bottom w:w="80" w:type="dxa"/>
              <w:end w:w="120" w:type="dxa"/>
            </w:tcMar>
            <w:vAlign w:val="center"/>
          </w:tcPr>
          <w:p>
            <w:pPr>
              <w:spacing w:after="0"/>
            </w:pPr>
            <w:r>
              <w:rPr>
                <w:rFonts w:ascii="Calibri" w:hAnsi="Calibri"/>
                <w:b/>
                <w:color w:val="1F4D78"/>
                <w:sz w:val="17"/>
              </w:rPr>
              <w:t>Decision gate</w:t>
            </w:r>
          </w:p>
        </w:tc>
      </w:tr>
      <w:tr>
        <w:trPr>
          <w:cantSplit/>
        </w:trPr>
        <w:tc>
          <w:tcPr>
            <w:tcW w:type="dxa" w:w="2088"/>
            <w:tcMar>
              <w:top w:w="80" w:type="dxa"/>
              <w:start w:w="120" w:type="dxa"/>
              <w:bottom w:w="80" w:type="dxa"/>
              <w:end w:w="120" w:type="dxa"/>
            </w:tcMar>
            <w:vAlign w:val="top"/>
          </w:tcPr>
          <w:p>
            <w:pPr>
              <w:spacing w:after="0" w:line="259" w:lineRule="auto"/>
            </w:pPr>
            <w:r>
              <w:rPr>
                <w:rFonts w:ascii="Calibri" w:hAnsi="Calibri"/>
                <w:color w:val="243447"/>
                <w:sz w:val="17"/>
              </w:rPr>
              <w:t>1 — Build and baseline (6 months)</w:t>
            </w:r>
          </w:p>
        </w:tc>
        <w:tc>
          <w:tcPr>
            <w:tcW w:type="dxa" w:w="5112"/>
            <w:tcMar>
              <w:top w:w="80" w:type="dxa"/>
              <w:start w:w="120" w:type="dxa"/>
              <w:bottom w:w="80" w:type="dxa"/>
              <w:end w:w="120" w:type="dxa"/>
            </w:tcMar>
            <w:vAlign w:val="top"/>
          </w:tcPr>
          <w:p>
            <w:pPr>
              <w:spacing w:after="0" w:line="259" w:lineRule="auto"/>
            </w:pPr>
            <w:r>
              <w:rPr>
                <w:rFonts w:ascii="Calibri" w:hAnsi="Calibri"/>
                <w:color w:val="243447"/>
                <w:sz w:val="17"/>
              </w:rPr>
              <w:t>Procure secure devices; establish supervised housing, victim liaison and dispatch; publish baseline remand days, serious incidents, employment and cost.</w:t>
            </w:r>
          </w:p>
        </w:tc>
        <w:tc>
          <w:tcPr>
            <w:tcW w:type="dxa" w:w="2160"/>
            <w:tcMar>
              <w:top w:w="80" w:type="dxa"/>
              <w:start w:w="120" w:type="dxa"/>
              <w:bottom w:w="80" w:type="dxa"/>
              <w:end w:w="120" w:type="dxa"/>
            </w:tcMar>
            <w:vAlign w:val="top"/>
          </w:tcPr>
          <w:p>
            <w:pPr>
              <w:spacing w:after="0" w:line="259" w:lineRule="auto"/>
            </w:pPr>
            <w:r>
              <w:rPr>
                <w:rFonts w:ascii="Calibri" w:hAnsi="Calibri"/>
                <w:color w:val="243447"/>
                <w:sz w:val="17"/>
              </w:rPr>
              <w:t>Independent privacy, equity and operational readiness review.</w:t>
            </w:r>
          </w:p>
        </w:tc>
      </w:tr>
      <w:tr>
        <w:trPr>
          <w:cantSplit/>
        </w:trPr>
        <w:tc>
          <w:tcPr>
            <w:tcW w:type="dxa" w:w="2088"/>
            <w:tcMar>
              <w:top w:w="80" w:type="dxa"/>
              <w:start w:w="120" w:type="dxa"/>
              <w:bottom w:w="80" w:type="dxa"/>
              <w:end w:w="120" w:type="dxa"/>
            </w:tcMar>
            <w:vAlign w:val="top"/>
          </w:tcPr>
          <w:p>
            <w:pPr>
              <w:spacing w:after="0" w:line="259" w:lineRule="auto"/>
            </w:pPr>
            <w:r>
              <w:rPr>
                <w:rFonts w:ascii="Calibri" w:hAnsi="Calibri"/>
                <w:color w:val="243447"/>
                <w:sz w:val="17"/>
              </w:rPr>
              <w:t>2 — Controlled pilot (18 months)</w:t>
            </w:r>
          </w:p>
        </w:tc>
        <w:tc>
          <w:tcPr>
            <w:tcW w:type="dxa" w:w="5112"/>
            <w:tcMar>
              <w:top w:w="80" w:type="dxa"/>
              <w:start w:w="120" w:type="dxa"/>
              <w:bottom w:w="80" w:type="dxa"/>
              <w:end w:w="120" w:type="dxa"/>
            </w:tcMar>
            <w:vAlign w:val="top"/>
          </w:tcPr>
          <w:p>
            <w:pPr>
              <w:spacing w:after="0" w:line="259" w:lineRule="auto"/>
            </w:pPr>
            <w:r>
              <w:rPr>
                <w:rFonts w:ascii="Calibri" w:hAnsi="Calibri"/>
                <w:color w:val="243447"/>
                <w:sz w:val="17"/>
              </w:rPr>
              <w:t>Selected Provincial Court locations; people who would otherwise be detained or jailed; matched comparison and public quarterly dashboard.</w:t>
            </w:r>
          </w:p>
        </w:tc>
        <w:tc>
          <w:tcPr>
            <w:tcW w:type="dxa" w:w="2160"/>
            <w:tcMar>
              <w:top w:w="80" w:type="dxa"/>
              <w:start w:w="120" w:type="dxa"/>
              <w:bottom w:w="80" w:type="dxa"/>
              <w:end w:w="120" w:type="dxa"/>
            </w:tcMar>
            <w:vAlign w:val="top"/>
          </w:tcPr>
          <w:p>
            <w:pPr>
              <w:spacing w:after="0" w:line="259" w:lineRule="auto"/>
            </w:pPr>
            <w:r>
              <w:rPr>
                <w:rFonts w:ascii="Calibri" w:hAnsi="Calibri"/>
                <w:color w:val="243447"/>
                <w:sz w:val="17"/>
              </w:rPr>
              <w:t>Expand only if serious harm is not worse and verified jail-days are displaced.</w:t>
            </w:r>
          </w:p>
        </w:tc>
      </w:tr>
      <w:tr>
        <w:trPr>
          <w:cantSplit/>
        </w:trPr>
        <w:tc>
          <w:tcPr>
            <w:tcW w:type="dxa" w:w="2088"/>
            <w:tcMar>
              <w:top w:w="80" w:type="dxa"/>
              <w:start w:w="120" w:type="dxa"/>
              <w:bottom w:w="80" w:type="dxa"/>
              <w:end w:w="120" w:type="dxa"/>
            </w:tcMar>
            <w:vAlign w:val="top"/>
          </w:tcPr>
          <w:p>
            <w:pPr>
              <w:spacing w:after="0" w:line="259" w:lineRule="auto"/>
            </w:pPr>
            <w:r>
              <w:rPr>
                <w:rFonts w:ascii="Calibri" w:hAnsi="Calibri"/>
                <w:color w:val="243447"/>
                <w:sz w:val="17"/>
              </w:rPr>
              <w:t>3 — Scale and legislate</w:t>
            </w:r>
          </w:p>
        </w:tc>
        <w:tc>
          <w:tcPr>
            <w:tcW w:type="dxa" w:w="5112"/>
            <w:tcMar>
              <w:top w:w="80" w:type="dxa"/>
              <w:start w:w="120" w:type="dxa"/>
              <w:bottom w:w="80" w:type="dxa"/>
              <w:end w:w="120" w:type="dxa"/>
            </w:tcMar>
            <w:vAlign w:val="top"/>
          </w:tcPr>
          <w:p>
            <w:pPr>
              <w:spacing w:after="0" w:line="259" w:lineRule="auto"/>
            </w:pPr>
            <w:r>
              <w:rPr>
                <w:rFonts w:ascii="Calibri" w:hAnsi="Calibri"/>
                <w:color w:val="243447"/>
                <w:sz w:val="17"/>
              </w:rPr>
              <w:t>Province-wide service standards, statutory reporting and integration with conditional sentences, bail and community corrections.</w:t>
            </w:r>
          </w:p>
        </w:tc>
        <w:tc>
          <w:tcPr>
            <w:tcW w:type="dxa" w:w="2160"/>
            <w:tcMar>
              <w:top w:w="80" w:type="dxa"/>
              <w:start w:w="120" w:type="dxa"/>
              <w:bottom w:w="80" w:type="dxa"/>
              <w:end w:w="120" w:type="dxa"/>
            </w:tcMar>
            <w:vAlign w:val="top"/>
          </w:tcPr>
          <w:p>
            <w:pPr>
              <w:spacing w:after="0" w:line="259" w:lineRule="auto"/>
            </w:pPr>
            <w:r>
              <w:rPr>
                <w:rFonts w:ascii="Calibri" w:hAnsi="Calibri"/>
                <w:color w:val="243447"/>
                <w:sz w:val="17"/>
              </w:rPr>
              <w:t>Five-year sunset review and legislative renewal.</w:t>
            </w:r>
          </w:p>
        </w:tc>
      </w:tr>
    </w:tbl>
    <w:p>
      <w:pPr>
        <w:spacing w:after="0"/>
      </w:pPr>
    </w:p>
    <w:p>
      <w:pPr>
        <w:pStyle w:val="Heading2"/>
      </w:pPr>
      <w:r>
        <w:t>Savings should be counted after cost shifting</w:t>
      </w:r>
    </w:p>
    <w:p>
      <w:r>
        <w:t>A prison bed does not disappear financially the moment one person is monitored at home. Many institutional costs are fixed in the short run. Savings become cashable when enough safe diversions allow a unit, range or planned expansion to close or be avoided. Community custody also requires real spending on devices, 24/7 staff, supervised housing, health care, legal review and victim services. The business case should report both marginal savings per jail-day and step-fixed savings when capacity is retired.</w:t>
      </w:r>
    </w:p>
    <w:p>
      <w:r>
        <w:t>The historic federal electronic-monitoring pilot estimated $84.85 per day, or about $31,000 annualized, while a 2022/23 federal community-supervision average was $47,522 and federal custody averaged $156,744. [8,17] These figures show plausible fiscal space, but they are not directly interchangeable. A current B.C. pilot must calculate its own fully loaded cost and identify which institutional expenditures actually fall.</w:t>
      </w:r>
    </w:p>
    <w:p>
      <w:pPr>
        <w:pStyle w:val="Heading2"/>
      </w:pPr>
      <w:r>
        <w:t>The scorecard</w:t>
      </w:r>
    </w:p>
    <w:tbl>
      <w:tblPr>
        <w:tblStyle w:val="TableGrid"/>
        <w:tblW w:type="auto" w:w="0"/>
        <w:jc w:val="left"/>
        <w:tblLayout w:type="fixed"/>
        <w:tblLook w:firstColumn="1" w:firstRow="1" w:lastColumn="0" w:lastRow="0" w:noHBand="0" w:noVBand="1" w:val="04A0"/>
      </w:tblPr>
      <w:tblGrid>
        <w:gridCol w:w="3120"/>
        <w:gridCol w:w="3120"/>
        <w:gridCol w:w="3120"/>
      </w:tblGrid>
      <w:tr>
        <w:trPr>
          <w:tblHeader w:val="true"/>
          <w:cantSplit/>
        </w:trPr>
        <w:tc>
          <w:tcPr>
            <w:tcW w:type="dxa" w:w="1800"/>
            <w:shd w:fill="F4F6F9"/>
            <w:tcMar>
              <w:top w:w="80" w:type="dxa"/>
              <w:start w:w="120" w:type="dxa"/>
              <w:bottom w:w="80" w:type="dxa"/>
              <w:end w:w="120" w:type="dxa"/>
            </w:tcMar>
            <w:vAlign w:val="center"/>
          </w:tcPr>
          <w:p>
            <w:pPr>
              <w:spacing w:after="0"/>
            </w:pPr>
            <w:r>
              <w:rPr>
                <w:rFonts w:ascii="Calibri" w:hAnsi="Calibri"/>
                <w:b/>
                <w:color w:val="1F4D78"/>
                <w:sz w:val="17"/>
              </w:rPr>
              <w:t>Outcome</w:t>
            </w:r>
          </w:p>
        </w:tc>
        <w:tc>
          <w:tcPr>
            <w:tcW w:type="dxa" w:w="4608"/>
            <w:shd w:fill="F4F6F9"/>
            <w:tcMar>
              <w:top w:w="80" w:type="dxa"/>
              <w:start w:w="120" w:type="dxa"/>
              <w:bottom w:w="80" w:type="dxa"/>
              <w:end w:w="120" w:type="dxa"/>
            </w:tcMar>
            <w:vAlign w:val="center"/>
          </w:tcPr>
          <w:p>
            <w:pPr>
              <w:spacing w:after="0"/>
            </w:pPr>
            <w:r>
              <w:rPr>
                <w:rFonts w:ascii="Calibri" w:hAnsi="Calibri"/>
                <w:b/>
                <w:color w:val="1F4D78"/>
                <w:sz w:val="17"/>
              </w:rPr>
              <w:t>Primary measure</w:t>
            </w:r>
          </w:p>
        </w:tc>
        <w:tc>
          <w:tcPr>
            <w:tcW w:type="dxa" w:w="2951"/>
            <w:shd w:fill="F4F6F9"/>
            <w:tcMar>
              <w:top w:w="80" w:type="dxa"/>
              <w:start w:w="120" w:type="dxa"/>
              <w:bottom w:w="80" w:type="dxa"/>
              <w:end w:w="120" w:type="dxa"/>
            </w:tcMar>
            <w:vAlign w:val="center"/>
          </w:tcPr>
          <w:p>
            <w:pPr>
              <w:spacing w:after="0"/>
            </w:pPr>
            <w:r>
              <w:rPr>
                <w:rFonts w:ascii="Calibri" w:hAnsi="Calibri"/>
                <w:b/>
                <w:color w:val="1F4D78"/>
                <w:sz w:val="17"/>
              </w:rPr>
              <w:t>Guardrail</w:t>
            </w:r>
          </w:p>
        </w:tc>
      </w:tr>
      <w:tr>
        <w:trPr>
          <w:cantSplit/>
        </w:trPr>
        <w:tc>
          <w:tcPr>
            <w:tcW w:type="dxa" w:w="1800"/>
            <w:tcMar>
              <w:top w:w="80" w:type="dxa"/>
              <w:start w:w="120" w:type="dxa"/>
              <w:bottom w:w="80" w:type="dxa"/>
              <w:end w:w="120" w:type="dxa"/>
            </w:tcMar>
            <w:vAlign w:val="top"/>
          </w:tcPr>
          <w:p>
            <w:pPr>
              <w:spacing w:after="0" w:line="259" w:lineRule="auto"/>
            </w:pPr>
            <w:r>
              <w:rPr>
                <w:rFonts w:ascii="Calibri" w:hAnsi="Calibri"/>
                <w:color w:val="243447"/>
                <w:sz w:val="17"/>
              </w:rPr>
              <w:t>Public and victim safety</w:t>
            </w:r>
          </w:p>
        </w:tc>
        <w:tc>
          <w:tcPr>
            <w:tcW w:type="dxa" w:w="4608"/>
            <w:tcMar>
              <w:top w:w="80" w:type="dxa"/>
              <w:start w:w="120" w:type="dxa"/>
              <w:bottom w:w="80" w:type="dxa"/>
              <w:end w:w="120" w:type="dxa"/>
            </w:tcMar>
            <w:vAlign w:val="top"/>
          </w:tcPr>
          <w:p>
            <w:pPr>
              <w:spacing w:after="0" w:line="259" w:lineRule="auto"/>
            </w:pPr>
            <w:r>
              <w:rPr>
                <w:rFonts w:ascii="Calibri" w:hAnsi="Calibri"/>
                <w:color w:val="243447"/>
                <w:sz w:val="17"/>
              </w:rPr>
              <w:t>Serious violent or threatening incidents per 100 participants; protected-zone incursions; response time.</w:t>
            </w:r>
          </w:p>
        </w:tc>
        <w:tc>
          <w:tcPr>
            <w:tcW w:type="dxa" w:w="2951"/>
            <w:tcMar>
              <w:top w:w="80" w:type="dxa"/>
              <w:start w:w="120" w:type="dxa"/>
              <w:bottom w:w="80" w:type="dxa"/>
              <w:end w:w="120" w:type="dxa"/>
            </w:tcMar>
            <w:vAlign w:val="top"/>
          </w:tcPr>
          <w:p>
            <w:pPr>
              <w:spacing w:after="0" w:line="259" w:lineRule="auto"/>
            </w:pPr>
            <w:r>
              <w:rPr>
                <w:rFonts w:ascii="Calibri" w:hAnsi="Calibri"/>
                <w:color w:val="243447"/>
                <w:sz w:val="17"/>
              </w:rPr>
              <w:t>No expansion if serious harm exceeds a pre-set non-inferiority margin.</w:t>
            </w:r>
          </w:p>
        </w:tc>
      </w:tr>
      <w:tr>
        <w:trPr>
          <w:cantSplit/>
        </w:trPr>
        <w:tc>
          <w:tcPr>
            <w:tcW w:type="dxa" w:w="1800"/>
            <w:tcMar>
              <w:top w:w="80" w:type="dxa"/>
              <w:start w:w="120" w:type="dxa"/>
              <w:bottom w:w="80" w:type="dxa"/>
              <w:end w:w="120" w:type="dxa"/>
            </w:tcMar>
            <w:vAlign w:val="top"/>
          </w:tcPr>
          <w:p>
            <w:pPr>
              <w:spacing w:after="0" w:line="259" w:lineRule="auto"/>
            </w:pPr>
            <w:r>
              <w:rPr>
                <w:rFonts w:ascii="Calibri" w:hAnsi="Calibri"/>
                <w:color w:val="243447"/>
                <w:sz w:val="17"/>
              </w:rPr>
              <w:t>Custody displaced</w:t>
            </w:r>
          </w:p>
        </w:tc>
        <w:tc>
          <w:tcPr>
            <w:tcW w:type="dxa" w:w="4608"/>
            <w:tcMar>
              <w:top w:w="80" w:type="dxa"/>
              <w:start w:w="120" w:type="dxa"/>
              <w:bottom w:w="80" w:type="dxa"/>
              <w:end w:w="120" w:type="dxa"/>
            </w:tcMar>
            <w:vAlign w:val="top"/>
          </w:tcPr>
          <w:p>
            <w:pPr>
              <w:spacing w:after="0" w:line="259" w:lineRule="auto"/>
            </w:pPr>
            <w:r>
              <w:rPr>
                <w:rFonts w:ascii="Calibri" w:hAnsi="Calibri"/>
                <w:color w:val="243447"/>
                <w:sz w:val="17"/>
              </w:rPr>
              <w:t>Verified remand and sentenced jail-days avoided relative to counterfactual decision.</w:t>
            </w:r>
          </w:p>
        </w:tc>
        <w:tc>
          <w:tcPr>
            <w:tcW w:type="dxa" w:w="2951"/>
            <w:tcMar>
              <w:top w:w="80" w:type="dxa"/>
              <w:start w:w="120" w:type="dxa"/>
              <w:bottom w:w="80" w:type="dxa"/>
              <w:end w:w="120" w:type="dxa"/>
            </w:tcMar>
            <w:vAlign w:val="top"/>
          </w:tcPr>
          <w:p>
            <w:pPr>
              <w:spacing w:after="0" w:line="259" w:lineRule="auto"/>
            </w:pPr>
            <w:r>
              <w:rPr>
                <w:rFonts w:ascii="Calibri" w:hAnsi="Calibri"/>
                <w:color w:val="243447"/>
                <w:sz w:val="17"/>
              </w:rPr>
              <w:t>GPS cases that would have received ordinary release reported separately.</w:t>
            </w:r>
          </w:p>
        </w:tc>
      </w:tr>
      <w:tr>
        <w:trPr>
          <w:cantSplit/>
        </w:trPr>
        <w:tc>
          <w:tcPr>
            <w:tcW w:type="dxa" w:w="1800"/>
            <w:tcMar>
              <w:top w:w="80" w:type="dxa"/>
              <w:start w:w="120" w:type="dxa"/>
              <w:bottom w:w="80" w:type="dxa"/>
              <w:end w:w="120" w:type="dxa"/>
            </w:tcMar>
            <w:vAlign w:val="top"/>
          </w:tcPr>
          <w:p>
            <w:pPr>
              <w:spacing w:after="0" w:line="259" w:lineRule="auto"/>
            </w:pPr>
            <w:r>
              <w:rPr>
                <w:rFonts w:ascii="Calibri" w:hAnsi="Calibri"/>
                <w:color w:val="243447"/>
                <w:sz w:val="17"/>
              </w:rPr>
              <w:t>Stability</w:t>
            </w:r>
          </w:p>
        </w:tc>
        <w:tc>
          <w:tcPr>
            <w:tcW w:type="dxa" w:w="4608"/>
            <w:tcMar>
              <w:top w:w="80" w:type="dxa"/>
              <w:start w:w="120" w:type="dxa"/>
              <w:bottom w:w="80" w:type="dxa"/>
              <w:end w:w="120" w:type="dxa"/>
            </w:tcMar>
            <w:vAlign w:val="top"/>
          </w:tcPr>
          <w:p>
            <w:pPr>
              <w:spacing w:after="0" w:line="259" w:lineRule="auto"/>
            </w:pPr>
            <w:r>
              <w:rPr>
                <w:rFonts w:ascii="Calibri" w:hAnsi="Calibri"/>
                <w:color w:val="243447"/>
                <w:sz w:val="17"/>
              </w:rPr>
              <w:t>Employment, housing, treatment continuity, caregiving and restitution.</w:t>
            </w:r>
          </w:p>
        </w:tc>
        <w:tc>
          <w:tcPr>
            <w:tcW w:type="dxa" w:w="2951"/>
            <w:tcMar>
              <w:top w:w="80" w:type="dxa"/>
              <w:start w:w="120" w:type="dxa"/>
              <w:bottom w:w="80" w:type="dxa"/>
              <w:end w:w="120" w:type="dxa"/>
            </w:tcMar>
            <w:vAlign w:val="top"/>
          </w:tcPr>
          <w:p>
            <w:pPr>
              <w:spacing w:after="0" w:line="259" w:lineRule="auto"/>
            </w:pPr>
            <w:r>
              <w:rPr>
                <w:rFonts w:ascii="Calibri" w:hAnsi="Calibri"/>
                <w:color w:val="243447"/>
                <w:sz w:val="17"/>
              </w:rPr>
              <w:t>No penalty for poverty-related barriers outside the participant’s control.</w:t>
            </w:r>
          </w:p>
        </w:tc>
      </w:tr>
      <w:tr>
        <w:trPr>
          <w:cantSplit/>
        </w:trPr>
        <w:tc>
          <w:tcPr>
            <w:tcW w:type="dxa" w:w="1800"/>
            <w:tcMar>
              <w:top w:w="80" w:type="dxa"/>
              <w:start w:w="120" w:type="dxa"/>
              <w:bottom w:w="80" w:type="dxa"/>
              <w:end w:w="120" w:type="dxa"/>
            </w:tcMar>
            <w:vAlign w:val="top"/>
          </w:tcPr>
          <w:p>
            <w:pPr>
              <w:spacing w:after="0" w:line="259" w:lineRule="auto"/>
            </w:pPr>
            <w:r>
              <w:rPr>
                <w:rFonts w:ascii="Calibri" w:hAnsi="Calibri"/>
                <w:color w:val="243447"/>
                <w:sz w:val="17"/>
              </w:rPr>
              <w:t>Fairness</w:t>
            </w:r>
          </w:p>
        </w:tc>
        <w:tc>
          <w:tcPr>
            <w:tcW w:type="dxa" w:w="4608"/>
            <w:tcMar>
              <w:top w:w="80" w:type="dxa"/>
              <w:start w:w="120" w:type="dxa"/>
              <w:bottom w:w="80" w:type="dxa"/>
              <w:end w:w="120" w:type="dxa"/>
            </w:tcMar>
            <w:vAlign w:val="top"/>
          </w:tcPr>
          <w:p>
            <w:pPr>
              <w:spacing w:after="0" w:line="259" w:lineRule="auto"/>
            </w:pPr>
            <w:r>
              <w:rPr>
                <w:rFonts w:ascii="Calibri" w:hAnsi="Calibri"/>
                <w:color w:val="243447"/>
                <w:sz w:val="17"/>
              </w:rPr>
              <w:t>Use, breach and revocation by Indigenous identity, race, sex, disability, region and housing status.</w:t>
            </w:r>
          </w:p>
        </w:tc>
        <w:tc>
          <w:tcPr>
            <w:tcW w:type="dxa" w:w="2951"/>
            <w:tcMar>
              <w:top w:w="80" w:type="dxa"/>
              <w:start w:w="120" w:type="dxa"/>
              <w:bottom w:w="80" w:type="dxa"/>
              <w:end w:w="120" w:type="dxa"/>
            </w:tcMar>
            <w:vAlign w:val="top"/>
          </w:tcPr>
          <w:p>
            <w:pPr>
              <w:spacing w:after="0" w:line="259" w:lineRule="auto"/>
            </w:pPr>
            <w:r>
              <w:rPr>
                <w:rFonts w:ascii="Calibri" w:hAnsi="Calibri"/>
                <w:color w:val="243447"/>
                <w:sz w:val="17"/>
              </w:rPr>
              <w:t>Investigate material disparity before scale-up.</w:t>
            </w:r>
          </w:p>
        </w:tc>
      </w:tr>
      <w:tr>
        <w:trPr>
          <w:cantSplit/>
        </w:trPr>
        <w:tc>
          <w:tcPr>
            <w:tcW w:type="dxa" w:w="1800"/>
            <w:tcMar>
              <w:top w:w="80" w:type="dxa"/>
              <w:start w:w="120" w:type="dxa"/>
              <w:bottom w:w="80" w:type="dxa"/>
              <w:end w:w="120" w:type="dxa"/>
            </w:tcMar>
            <w:vAlign w:val="top"/>
          </w:tcPr>
          <w:p>
            <w:pPr>
              <w:spacing w:after="0" w:line="259" w:lineRule="auto"/>
            </w:pPr>
            <w:r>
              <w:rPr>
                <w:rFonts w:ascii="Calibri" w:hAnsi="Calibri"/>
                <w:color w:val="243447"/>
                <w:sz w:val="17"/>
              </w:rPr>
              <w:t>Cost</w:t>
            </w:r>
          </w:p>
        </w:tc>
        <w:tc>
          <w:tcPr>
            <w:tcW w:type="dxa" w:w="4608"/>
            <w:tcMar>
              <w:top w:w="80" w:type="dxa"/>
              <w:start w:w="120" w:type="dxa"/>
              <w:bottom w:w="80" w:type="dxa"/>
              <w:end w:w="120" w:type="dxa"/>
            </w:tcMar>
            <w:vAlign w:val="top"/>
          </w:tcPr>
          <w:p>
            <w:pPr>
              <w:spacing w:after="0" w:line="259" w:lineRule="auto"/>
            </w:pPr>
            <w:r>
              <w:rPr>
                <w:rFonts w:ascii="Calibri" w:hAnsi="Calibri"/>
                <w:color w:val="243447"/>
                <w:sz w:val="17"/>
              </w:rPr>
              <w:t>All-in community cost, marginal jail cost avoided and step-fixed capacity retired.</w:t>
            </w:r>
          </w:p>
        </w:tc>
        <w:tc>
          <w:tcPr>
            <w:tcW w:type="dxa" w:w="2951"/>
            <w:tcMar>
              <w:top w:w="80" w:type="dxa"/>
              <w:start w:w="120" w:type="dxa"/>
              <w:bottom w:w="80" w:type="dxa"/>
              <w:end w:w="120" w:type="dxa"/>
            </w:tcMar>
            <w:vAlign w:val="top"/>
          </w:tcPr>
          <w:p>
            <w:pPr>
              <w:spacing w:after="0" w:line="259" w:lineRule="auto"/>
            </w:pPr>
            <w:r>
              <w:rPr>
                <w:rFonts w:ascii="Calibri" w:hAnsi="Calibri"/>
                <w:color w:val="243447"/>
                <w:sz w:val="17"/>
              </w:rPr>
              <w:t>No unsupported multiplication of average prison cost by participant count.</w:t>
            </w:r>
          </w:p>
        </w:tc>
      </w:tr>
      <w:tr>
        <w:trPr>
          <w:cantSplit/>
        </w:trPr>
        <w:tc>
          <w:tcPr>
            <w:tcW w:type="dxa" w:w="1800"/>
            <w:tcMar>
              <w:top w:w="80" w:type="dxa"/>
              <w:start w:w="120" w:type="dxa"/>
              <w:bottom w:w="80" w:type="dxa"/>
              <w:end w:w="120" w:type="dxa"/>
            </w:tcMar>
            <w:vAlign w:val="top"/>
          </w:tcPr>
          <w:p>
            <w:pPr>
              <w:spacing w:after="0" w:line="259" w:lineRule="auto"/>
            </w:pPr>
            <w:r>
              <w:rPr>
                <w:rFonts w:ascii="Calibri" w:hAnsi="Calibri"/>
                <w:color w:val="243447"/>
                <w:sz w:val="17"/>
              </w:rPr>
              <w:t>System integrity</w:t>
            </w:r>
          </w:p>
        </w:tc>
        <w:tc>
          <w:tcPr>
            <w:tcW w:type="dxa" w:w="4608"/>
            <w:tcMar>
              <w:top w:w="80" w:type="dxa"/>
              <w:start w:w="120" w:type="dxa"/>
              <w:bottom w:w="80" w:type="dxa"/>
              <w:end w:w="120" w:type="dxa"/>
            </w:tcMar>
            <w:vAlign w:val="top"/>
          </w:tcPr>
          <w:p>
            <w:pPr>
              <w:spacing w:after="0" w:line="259" w:lineRule="auto"/>
            </w:pPr>
            <w:r>
              <w:rPr>
                <w:rFonts w:ascii="Calibri" w:hAnsi="Calibri"/>
                <w:color w:val="243447"/>
                <w:sz w:val="17"/>
              </w:rPr>
              <w:t>False alerts, missed alerts, outages, overrides, complaint resolution and data-access logs.</w:t>
            </w:r>
          </w:p>
        </w:tc>
        <w:tc>
          <w:tcPr>
            <w:tcW w:type="dxa" w:w="2951"/>
            <w:tcMar>
              <w:top w:w="80" w:type="dxa"/>
              <w:start w:w="120" w:type="dxa"/>
              <w:bottom w:w="80" w:type="dxa"/>
              <w:end w:w="120" w:type="dxa"/>
            </w:tcMar>
            <w:vAlign w:val="top"/>
          </w:tcPr>
          <w:p>
            <w:pPr>
              <w:spacing w:after="0" w:line="259" w:lineRule="auto"/>
            </w:pPr>
            <w:r>
              <w:rPr>
                <w:rFonts w:ascii="Calibri" w:hAnsi="Calibri"/>
                <w:color w:val="243447"/>
                <w:sz w:val="17"/>
              </w:rPr>
              <w:t>Public incident reporting and independent audit.</w:t>
            </w:r>
          </w:p>
        </w:tc>
      </w:tr>
    </w:tbl>
    <w:p>
      <w:pPr>
        <w:spacing w:after="0"/>
      </w:pPr>
    </w:p>
    <w:p>
      <w:pPr>
        <w:pStyle w:val="Heading1"/>
      </w:pPr>
      <w:r>
        <w:t>7. Recommendations</w:t>
      </w:r>
    </w:p>
    <w:p>
      <w:pPr>
        <w:pStyle w:val="ListNumber"/>
      </w:pPr>
      <w:r>
        <w:t>Create a B.C. Community Custody Service with stable funding equal to the seriousness of the alternative it replaces.</w:t>
      </w:r>
    </w:p>
    <w:p>
      <w:pPr>
        <w:pStyle w:val="ListNumber"/>
      </w:pPr>
      <w:r>
        <w:t>Set a rebuttable presumption of community custody for eligible cases and require recorded reasons when jail is chosen despite a feasible plan.</w:t>
      </w:r>
    </w:p>
    <w:p>
      <w:pPr>
        <w:pStyle w:val="ListNumber"/>
      </w:pPr>
      <w:r>
        <w:t>Integrate remand reform: early bail plans, funded housing, expedited review and public reporting of pretrial jail-days.</w:t>
      </w:r>
    </w:p>
    <w:p>
      <w:pPr>
        <w:pStyle w:val="ListNumber"/>
      </w:pPr>
      <w:r>
        <w:t>Give protected persons a voluntary role in exclusion-zone design and notification preferences, with candid explanation of GPS limitations.</w:t>
      </w:r>
    </w:p>
    <w:p>
      <w:pPr>
        <w:pStyle w:val="ListNumber"/>
      </w:pPr>
      <w:r>
        <w:t>Prohibit net-widening by statute or policy: electronic monitoring must replace detention, custody or an otherwise necessary restrictive residence.</w:t>
      </w:r>
    </w:p>
    <w:p>
      <w:pPr>
        <w:pStyle w:val="ListNumber"/>
      </w:pPr>
      <w:r>
        <w:t>Use graduated, human-reviewed breach responses and guarantee rapid access to the underlying location evidence.</w:t>
      </w:r>
    </w:p>
    <w:p>
      <w:pPr>
        <w:pStyle w:val="ListNumber"/>
      </w:pPr>
      <w:r>
        <w:t>Publish costs in three layers: program cost, marginal custody cost avoided and step-fixed capacity retired.</w:t>
      </w:r>
    </w:p>
    <w:p>
      <w:pPr>
        <w:pStyle w:val="ListNumber"/>
      </w:pPr>
      <w:r>
        <w:t>Commission an independent evaluation with a credible comparison group before province-wide expansion.</w:t>
      </w:r>
    </w:p>
    <w:p>
      <w:pPr>
        <w:pStyle w:val="Heading1"/>
      </w:pPr>
      <w:r>
        <w:t>Questions for the next design phase</w:t>
      </w:r>
    </w:p>
    <w:p>
      <w:pPr>
        <w:spacing w:after="80" w:line="290" w:lineRule="auto"/>
        <w:ind w:left="540" w:hanging="279"/>
      </w:pPr>
      <w:r>
        <w:rPr>
          <w:b/>
          <w:color w:val="1F4D78"/>
        </w:rPr>
        <w:t xml:space="preserve">1. </w:t>
      </w:r>
      <w:r>
        <w:t>What risk threshold and offence exclusions produce the best balance between victim safety and custody displacement in B.C.?</w:t>
      </w:r>
    </w:p>
    <w:p>
      <w:pPr>
        <w:spacing w:after="80" w:line="290" w:lineRule="auto"/>
        <w:ind w:left="540" w:hanging="279"/>
      </w:pPr>
      <w:r>
        <w:rPr>
          <w:b/>
          <w:color w:val="1F4D78"/>
        </w:rPr>
        <w:t xml:space="preserve">2. </w:t>
      </w:r>
      <w:r>
        <w:t>Which police agencies can meet a common priority-alert response standard, and what is the rural alternative where travel time is long?</w:t>
      </w:r>
    </w:p>
    <w:p>
      <w:pPr>
        <w:spacing w:after="80" w:line="290" w:lineRule="auto"/>
        <w:ind w:left="540" w:hanging="279"/>
      </w:pPr>
      <w:r>
        <w:rPr>
          <w:b/>
          <w:color w:val="1F4D78"/>
        </w:rPr>
        <w:t xml:space="preserve">3. </w:t>
      </w:r>
      <w:r>
        <w:t>How many supervised-housing places are required so homelessness does not become a reason for detention?</w:t>
      </w:r>
    </w:p>
    <w:p>
      <w:pPr>
        <w:spacing w:after="80" w:line="290" w:lineRule="auto"/>
        <w:ind w:left="540" w:hanging="279"/>
      </w:pPr>
      <w:r>
        <w:rPr>
          <w:b/>
          <w:color w:val="1F4D78"/>
        </w:rPr>
        <w:t xml:space="preserve">4. </w:t>
      </w:r>
      <w:r>
        <w:t>What location-data retention period is long enough for breach review but short enough to prevent secondary surveillance?</w:t>
      </w:r>
    </w:p>
    <w:p>
      <w:pPr>
        <w:spacing w:after="80" w:line="290" w:lineRule="auto"/>
        <w:ind w:left="540" w:hanging="279"/>
      </w:pPr>
      <w:r>
        <w:rPr>
          <w:b/>
          <w:color w:val="1F4D78"/>
        </w:rPr>
        <w:t xml:space="preserve">5. </w:t>
      </w:r>
      <w:r>
        <w:t>Which institutional unit or planned capital project could be retired if the pilot safely reduces daily custody by a specified amount?</w:t>
      </w:r>
    </w:p>
    <w:p>
      <w:pPr>
        <w:pStyle w:val="Heading1"/>
      </w:pPr>
      <w:r>
        <w:t>Caveats and assumptions</w:t>
      </w:r>
    </w:p>
    <w:p>
      <w:pPr>
        <w:pStyle w:val="ListBullet"/>
      </w:pPr>
      <w:r>
        <w:t>The paper does not recommend house arrest for every accused or sentenced person. Eligibility and conditions require individualized judicial decisions.</w:t>
      </w:r>
    </w:p>
    <w:p>
      <w:pPr>
        <w:pStyle w:val="ListBullet"/>
      </w:pPr>
      <w:r>
        <w:t>GPS indicates device location, not intent, identity with certainty, absence of third-party contact or physical restraint.</w:t>
      </w:r>
    </w:p>
    <w:p>
      <w:pPr>
        <w:pStyle w:val="ListBullet"/>
      </w:pPr>
      <w:r>
        <w:t>The national, federal and B.C. financial series use different fiscal years and scopes. Per-person figures are directional unless a common cost-accounting model is applied.</w:t>
      </w:r>
    </w:p>
    <w:p>
      <w:pPr>
        <w:pStyle w:val="ListBullet"/>
      </w:pPr>
      <w:r>
        <w:t>Recidivism studies face selection effects. The strongest conclusion is that custody has no general superiority—not that every non-custodial program is effective.</w:t>
      </w:r>
    </w:p>
    <w:p>
      <w:pPr>
        <w:pStyle w:val="ListBullet"/>
      </w:pPr>
      <w:r>
        <w:t>Victim choice is essential. Some protected people may prefer detention or no location-based involvement; the system should not shift safety work onto them.</w:t>
      </w:r>
    </w:p>
    <w:p>
      <w:pPr>
        <w:pStyle w:val="ListBullet"/>
      </w:pPr>
      <w:r>
        <w:t>Indigenous overrepresentation and structural inequality require co-design, not only after-the-fact subgroup reporting.</w:t>
      </w:r>
    </w:p>
    <w:p>
      <w:pPr>
        <w:pStyle w:val="Heading1"/>
      </w:pPr>
      <w:r>
        <w:t>Sources</w:t>
      </w:r>
    </w:p>
    <w:p>
      <w:r>
        <w:t>All web sources were last accessed 29 August 2026. Monetary amounts are Canadian dollars unless stated otherwise.</w:t>
      </w:r>
    </w:p>
    <w:p>
      <w:pPr>
        <w:spacing w:after="40"/>
        <w:ind w:left="403" w:hanging="403"/>
      </w:pPr>
      <w:r>
        <w:rPr>
          <w:b/>
          <w:color w:val="1F4D78"/>
        </w:rPr>
        <w:t xml:space="preserve">[1] </w:t>
      </w:r>
      <w:hyperlink r:id="rId12">
        <w:r>
          <w:rPr>
            <w:color w:val="2E74B5"/>
            <w:u w:val="single"/>
          </w:rPr>
          <w:t>Criminal Code, section 718 — Purpose and principles of sentencing</w:t>
        </w:r>
      </w:hyperlink>
      <w:r>
        <w:rPr>
          <w:color w:val="243447"/>
        </w:rPr>
        <w:t xml:space="preserve"> — Justice Laws Website, current to 2026.</w:t>
      </w:r>
    </w:p>
    <w:p>
      <w:pPr>
        <w:spacing w:after="40"/>
        <w:ind w:left="403" w:hanging="403"/>
      </w:pPr>
      <w:r>
        <w:rPr>
          <w:b/>
          <w:color w:val="1F4D78"/>
        </w:rPr>
        <w:t xml:space="preserve">[2] </w:t>
      </w:r>
      <w:hyperlink r:id="rId13">
        <w:r>
          <w:rPr>
            <w:color w:val="2E74B5"/>
            <w:u w:val="single"/>
          </w:rPr>
          <w:t>Criminal Code, section 718.2 — Other sentencing principles</w:t>
        </w:r>
      </w:hyperlink>
      <w:r>
        <w:rPr>
          <w:color w:val="243447"/>
        </w:rPr>
        <w:t xml:space="preserve"> — Justice Laws Website, current to 2026.</w:t>
      </w:r>
    </w:p>
    <w:p>
      <w:pPr>
        <w:spacing w:after="40"/>
        <w:ind w:left="403" w:hanging="403"/>
      </w:pPr>
      <w:r>
        <w:rPr>
          <w:b/>
          <w:color w:val="1F4D78"/>
        </w:rPr>
        <w:t xml:space="preserve">[3] </w:t>
      </w:r>
      <w:hyperlink r:id="rId14">
        <w:r>
          <w:rPr>
            <w:color w:val="2E74B5"/>
            <w:u w:val="single"/>
          </w:rPr>
          <w:t>Criminal Code, sections 742.1–742.3 — Conditional sentences and conditions</w:t>
        </w:r>
      </w:hyperlink>
      <w:r>
        <w:rPr>
          <w:color w:val="243447"/>
        </w:rPr>
        <w:t xml:space="preserve"> — Justice Laws Website, current to 2026.</w:t>
      </w:r>
    </w:p>
    <w:p>
      <w:pPr>
        <w:spacing w:after="40"/>
        <w:ind w:left="403" w:hanging="403"/>
      </w:pPr>
      <w:r>
        <w:rPr>
          <w:b/>
          <w:color w:val="1F4D78"/>
        </w:rPr>
        <w:t xml:space="preserve">[4] </w:t>
      </w:r>
      <w:hyperlink r:id="rId15">
        <w:r>
          <w:rPr>
            <w:color w:val="2E74B5"/>
            <w:u w:val="single"/>
          </w:rPr>
          <w:t>Criminal Code, section 515 — Judicial interim release</w:t>
        </w:r>
      </w:hyperlink>
      <w:r>
        <w:rPr>
          <w:color w:val="243447"/>
        </w:rPr>
        <w:t xml:space="preserve"> — Justice Laws Website, current to 2026.</w:t>
      </w:r>
    </w:p>
    <w:p>
      <w:pPr>
        <w:spacing w:after="40"/>
        <w:ind w:left="403" w:hanging="403"/>
      </w:pPr>
      <w:r>
        <w:rPr>
          <w:b/>
          <w:color w:val="1F4D78"/>
        </w:rPr>
        <w:t xml:space="preserve">[5] </w:t>
      </w:r>
      <w:hyperlink r:id="rId16">
        <w:r>
          <w:rPr>
            <w:color w:val="2E74B5"/>
            <w:u w:val="single"/>
          </w:rPr>
          <w:t>Canada’s bail system: backgrounder</w:t>
        </w:r>
      </w:hyperlink>
      <w:r>
        <w:rPr>
          <w:color w:val="243447"/>
        </w:rPr>
        <w:t xml:space="preserve"> — Department of Justice Canada, 2023.</w:t>
      </w:r>
    </w:p>
    <w:p>
      <w:pPr>
        <w:spacing w:after="40"/>
        <w:ind w:left="403" w:hanging="403"/>
      </w:pPr>
      <w:r>
        <w:rPr>
          <w:b/>
          <w:color w:val="1F4D78"/>
        </w:rPr>
        <w:t xml:space="preserve">[6] </w:t>
      </w:r>
      <w:hyperlink r:id="rId17">
        <w:r>
          <w:rPr>
            <w:color w:val="2E74B5"/>
            <w:u w:val="single"/>
          </w:rPr>
          <w:t>Adult correctional services operating expenditures, 2023/2024</w:t>
        </w:r>
      </w:hyperlink>
      <w:r>
        <w:rPr>
          <w:color w:val="243447"/>
        </w:rPr>
        <w:t xml:space="preserve"> — Statistics Canada, Table 35-10-0013-01, 2025.</w:t>
      </w:r>
      <w:r>
        <w:rPr>
          <w:color w:val="617285"/>
        </w:rPr>
        <w:t xml:space="preserve"> Figures exclude police, courts, prosecution, legal aid and most capital spending.</w:t>
      </w:r>
    </w:p>
    <w:p>
      <w:pPr>
        <w:spacing w:after="40"/>
        <w:ind w:left="403" w:hanging="403"/>
      </w:pPr>
      <w:r>
        <w:rPr>
          <w:b/>
          <w:color w:val="1F4D78"/>
        </w:rPr>
        <w:t xml:space="preserve">[7] </w:t>
      </w:r>
      <w:hyperlink r:id="rId18">
        <w:r>
          <w:rPr>
            <w:color w:val="2E74B5"/>
            <w:u w:val="single"/>
          </w:rPr>
          <w:t>Adult custody and community supervision counts, 2023/2024</w:t>
        </w:r>
      </w:hyperlink>
      <w:r>
        <w:rPr>
          <w:color w:val="243447"/>
        </w:rPr>
        <w:t xml:space="preserve"> — Statistics Canada, Table 35-10-0154-01, 2025.</w:t>
      </w:r>
    </w:p>
    <w:p>
      <w:pPr>
        <w:spacing w:after="40"/>
        <w:ind w:left="403" w:hanging="403"/>
      </w:pPr>
      <w:r>
        <w:rPr>
          <w:b/>
          <w:color w:val="1F4D78"/>
        </w:rPr>
        <w:t xml:space="preserve">[8] </w:t>
      </w:r>
      <w:hyperlink r:id="rId19">
        <w:r>
          <w:rPr>
            <w:color w:val="2E74B5"/>
            <w:u w:val="single"/>
          </w:rPr>
          <w:t>Corrections and conditional release statistical overview 2024</w:t>
        </w:r>
      </w:hyperlink>
      <w:r>
        <w:rPr>
          <w:color w:val="243447"/>
        </w:rPr>
        <w:t xml:space="preserve"> — Public Safety Canada, 2024.</w:t>
      </w:r>
    </w:p>
    <w:p>
      <w:pPr>
        <w:spacing w:after="40"/>
        <w:ind w:left="403" w:hanging="403"/>
      </w:pPr>
      <w:r>
        <w:rPr>
          <w:b/>
          <w:color w:val="1F4D78"/>
        </w:rPr>
        <w:t xml:space="preserve">[9] </w:t>
      </w:r>
      <w:hyperlink r:id="rId20">
        <w:r>
          <w:rPr>
            <w:color w:val="2E74B5"/>
            <w:u w:val="single"/>
          </w:rPr>
          <w:t>2024–25 Departmental Results Report</w:t>
        </w:r>
      </w:hyperlink>
      <w:r>
        <w:rPr>
          <w:color w:val="243447"/>
        </w:rPr>
        <w:t xml:space="preserve"> — Correctional Service Canada, 2025.</w:t>
      </w:r>
    </w:p>
    <w:p>
      <w:pPr>
        <w:spacing w:after="40"/>
        <w:ind w:left="403" w:hanging="403"/>
      </w:pPr>
      <w:r>
        <w:rPr>
          <w:b/>
          <w:color w:val="1F4D78"/>
        </w:rPr>
        <w:t xml:space="preserve">[10] </w:t>
      </w:r>
      <w:hyperlink r:id="rId21">
        <w:r>
          <w:rPr>
            <w:color w:val="2E74B5"/>
            <w:u w:val="single"/>
          </w:rPr>
          <w:t>Financial statements for the year ended March 31, 2025</w:t>
        </w:r>
      </w:hyperlink>
      <w:r>
        <w:rPr>
          <w:color w:val="243447"/>
        </w:rPr>
        <w:t xml:space="preserve"> — Correctional Service Canada, 2025.</w:t>
      </w:r>
    </w:p>
    <w:p>
      <w:pPr>
        <w:spacing w:after="40"/>
        <w:ind w:left="403" w:hanging="403"/>
      </w:pPr>
      <w:r>
        <w:rPr>
          <w:b/>
          <w:color w:val="1F4D78"/>
        </w:rPr>
        <w:t xml:space="preserve">[11] </w:t>
      </w:r>
      <w:hyperlink r:id="rId22">
        <w:r>
          <w:rPr>
            <w:color w:val="2E74B5"/>
            <w:u w:val="single"/>
          </w:rPr>
          <w:t>2024/25 Annual Service Plan Report</w:t>
        </w:r>
      </w:hyperlink>
      <w:r>
        <w:rPr>
          <w:color w:val="243447"/>
        </w:rPr>
        <w:t xml:space="preserve"> — B.C. Ministry of Public Safety and Solicitor General, 2025.</w:t>
      </w:r>
    </w:p>
    <w:p>
      <w:pPr>
        <w:spacing w:after="40"/>
        <w:ind w:left="403" w:hanging="403"/>
      </w:pPr>
      <w:r>
        <w:rPr>
          <w:b/>
          <w:color w:val="1F4D78"/>
        </w:rPr>
        <w:t xml:space="preserve">[12] </w:t>
      </w:r>
      <w:hyperlink r:id="rId23">
        <w:r>
          <w:rPr>
            <w:color w:val="2E74B5"/>
            <w:u w:val="single"/>
          </w:rPr>
          <w:t>Correctional centres</w:t>
        </w:r>
      </w:hyperlink>
      <w:r>
        <w:rPr>
          <w:color w:val="243447"/>
        </w:rPr>
        <w:t xml:space="preserve"> — Government of British Columbia, 2026.</w:t>
      </w:r>
    </w:p>
    <w:p>
      <w:pPr>
        <w:spacing w:after="40"/>
        <w:ind w:left="403" w:hanging="403"/>
      </w:pPr>
      <w:r>
        <w:rPr>
          <w:b/>
          <w:color w:val="1F4D78"/>
        </w:rPr>
        <w:t xml:space="preserve">[13] </w:t>
      </w:r>
      <w:hyperlink r:id="rId24">
        <w:r>
          <w:rPr>
            <w:color w:val="2E74B5"/>
            <w:u w:val="single"/>
          </w:rPr>
          <w:t>Custodial sanctions and reoffending: a meta-analytic review</w:t>
        </w:r>
      </w:hyperlink>
      <w:r>
        <w:rPr>
          <w:color w:val="243447"/>
        </w:rPr>
        <w:t xml:space="preserve"> — Journal of Law and Economics, 2021.</w:t>
      </w:r>
      <w:r>
        <w:rPr>
          <w:color w:val="617285"/>
        </w:rPr>
        <w:t xml:space="preserve"> Review covered 116 studies.</w:t>
      </w:r>
    </w:p>
    <w:p>
      <w:pPr>
        <w:spacing w:after="40"/>
        <w:ind w:left="403" w:hanging="403"/>
      </w:pPr>
      <w:r>
        <w:rPr>
          <w:b/>
          <w:color w:val="1F4D78"/>
        </w:rPr>
        <w:t xml:space="preserve">[14] </w:t>
      </w:r>
      <w:hyperlink r:id="rId25">
        <w:r>
          <w:rPr>
            <w:color w:val="2E74B5"/>
            <w:u w:val="single"/>
          </w:rPr>
          <w:t>Custodial versus non-custodial sanctions: effects on reoffending</w:t>
        </w:r>
      </w:hyperlink>
      <w:r>
        <w:rPr>
          <w:color w:val="243447"/>
        </w:rPr>
        <w:t xml:space="preserve"> — Campbell Systematic Reviews, 2015.</w:t>
      </w:r>
    </w:p>
    <w:p>
      <w:pPr>
        <w:spacing w:after="40"/>
        <w:ind w:left="403" w:hanging="403"/>
      </w:pPr>
      <w:r>
        <w:rPr>
          <w:b/>
          <w:color w:val="1F4D78"/>
        </w:rPr>
        <w:t xml:space="preserve">[15] </w:t>
      </w:r>
      <w:hyperlink r:id="rId26">
        <w:r>
          <w:rPr>
            <w:color w:val="2E74B5"/>
            <w:u w:val="single"/>
          </w:rPr>
          <w:t>A systematic review of the effectiveness of electronic monitoring</w:t>
        </w:r>
      </w:hyperlink>
      <w:r>
        <w:rPr>
          <w:color w:val="243447"/>
        </w:rPr>
        <w:t xml:space="preserve"> — Journal of Criminal Justice / Australian National University record, 2020.</w:t>
      </w:r>
    </w:p>
    <w:p>
      <w:pPr>
        <w:spacing w:after="40"/>
        <w:ind w:left="403" w:hanging="403"/>
      </w:pPr>
      <w:r>
        <w:rPr>
          <w:b/>
          <w:color w:val="1F4D78"/>
        </w:rPr>
        <w:t xml:space="preserve">[16] </w:t>
      </w:r>
      <w:hyperlink r:id="rId27">
        <w:r>
          <w:rPr>
            <w:color w:val="2E74B5"/>
            <w:u w:val="single"/>
          </w:rPr>
          <w:t>Electronic monitoring research results at a glance</w:t>
        </w:r>
      </w:hyperlink>
      <w:r>
        <w:rPr>
          <w:color w:val="243447"/>
        </w:rPr>
        <w:t xml:space="preserve"> — Correctional Service Canada, 2019.</w:t>
      </w:r>
      <w:r>
        <w:rPr>
          <w:color w:val="617285"/>
        </w:rPr>
        <w:t xml:space="preserve"> Matched observational pilot; not a randomized trial.</w:t>
      </w:r>
    </w:p>
    <w:p>
      <w:pPr>
        <w:spacing w:after="40"/>
        <w:ind w:left="403" w:hanging="403"/>
      </w:pPr>
      <w:r>
        <w:rPr>
          <w:b/>
          <w:color w:val="1F4D78"/>
        </w:rPr>
        <w:t xml:space="preserve">[17] </w:t>
      </w:r>
      <w:hyperlink r:id="rId28">
        <w:r>
          <w:rPr>
            <w:color w:val="2E74B5"/>
            <w:u w:val="single"/>
          </w:rPr>
          <w:t>Electronic monitoring research report R-430</w:t>
        </w:r>
      </w:hyperlink>
      <w:r>
        <w:rPr>
          <w:color w:val="243447"/>
        </w:rPr>
        <w:t xml:space="preserve"> — Correctional Service Canada, 2019.</w:t>
      </w:r>
      <w:r>
        <w:rPr>
          <w:color w:val="617285"/>
        </w:rPr>
        <w:t xml:space="preserve"> Historic pilot cost estimate of $84.85 per day in 2017/18.</w:t>
      </w:r>
    </w:p>
    <w:p>
      <w:pPr>
        <w:spacing w:after="40"/>
        <w:ind w:left="403" w:hanging="403"/>
      </w:pPr>
      <w:r>
        <w:rPr>
          <w:b/>
          <w:color w:val="1F4D78"/>
        </w:rPr>
        <w:t xml:space="preserve">[18] </w:t>
      </w:r>
      <w:hyperlink r:id="rId29">
        <w:r>
          <w:rPr>
            <w:color w:val="2E74B5"/>
            <w:u w:val="single"/>
          </w:rPr>
          <w:t>Electronic monitoring in Canada: evaluation findings</w:t>
        </w:r>
      </w:hyperlink>
      <w:r>
        <w:rPr>
          <w:color w:val="243447"/>
        </w:rPr>
        <w:t xml:space="preserve"> — Public Safety Canada, 1999.</w:t>
      </w:r>
      <w:r>
        <w:rPr>
          <w:color w:val="617285"/>
        </w:rPr>
        <w:t xml:space="preserve"> Historic evidence used chiefly for the net-widening warning.</w:t>
      </w:r>
    </w:p>
    <w:sectPr>
      <w:headerReference w:type="default" r:id="rId9"/>
      <w:footerReference w:type="default" r:id="rId10"/>
      <w:pgSz w:w="12240" w:h="15840"/>
      <w:pgMar w:top="1440" w:right="1440" w:bottom="1440" w:left="1440" w:header="708" w:footer="708"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Calibri" w:hAnsi="Calibri"/>
        <w:color w:val="617285"/>
        <w:sz w:val="16"/>
      </w:rPr>
      <w:t xml:space="preserve">PAGE </w:t>
      <w:fldChar w:fldCharType="begin"/>
      <w:instrText xml:space="preserve">PAGE</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Calibri" w:hAnsi="Calibri"/>
        <w:b/>
        <w:color w:val="617285"/>
        <w:sz w:val="16"/>
      </w:rPr>
      <w:t>COMMUNITY CUSTODY FIRST</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320" w:lineRule="auto"/>
      <w:jc w:val="both"/>
    </w:pPr>
    <w:rPr>
      <w:rFonts w:ascii="Calibri" w:hAnsi="Calibri" w:eastAsia="Calibri"/>
      <w:color w:val="243447"/>
      <w:sz w:val="22"/>
      <w:lang w:val="en-CA"/>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60" w:after="200"/>
      <w:outlineLvl w:val="0"/>
    </w:pPr>
    <w:rPr>
      <w:rFonts w:asciiTheme="majorHAnsi" w:eastAsiaTheme="majorEastAsia" w:hAnsiTheme="majorHAnsi" w:cstheme="majorBidi" w:ascii="Calibri" w:hAnsi="Calibri"/>
      <w:b/>
      <w:bCs/>
      <w:color w:val="2E74B5"/>
      <w:sz w:val="32"/>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ascii="Calibri" w:hAnsi="Calibri"/>
      <w:b/>
      <w:bCs/>
      <w:color w:val="2E74B5"/>
      <w:sz w:val="26"/>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ascii="Calibri" w:hAnsi="Calibri"/>
      <w:b/>
      <w:bCs/>
      <w:color w:val="1F4D78"/>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80" w:line="290" w:lineRule="auto"/>
      <w:ind w:left="540" w:hanging="279"/>
      <w:contextualSpacing/>
    </w:pPr>
    <w:rPr>
      <w:rFonts w:ascii="Calibri" w:hAnsi="Calibri"/>
      <w:color w:val="243447"/>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80" w:line="290" w:lineRule="auto"/>
      <w:ind w:left="540" w:hanging="279"/>
      <w:contextualSpacing/>
    </w:pPr>
    <w:rPr>
      <w:rFonts w:ascii="Calibri" w:hAnsi="Calibri"/>
      <w:color w:val="243447"/>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 Id="rId12" Type="http://schemas.openxmlformats.org/officeDocument/2006/relationships/hyperlink" Target="https://laws-lois.justice.gc.ca/eng/acts/c-46/section-718.html" TargetMode="External"/><Relationship Id="rId13" Type="http://schemas.openxmlformats.org/officeDocument/2006/relationships/hyperlink" Target="https://laws-lois.justice.gc.ca/eng/acts/c-46/section-718.2.html" TargetMode="External"/><Relationship Id="rId14" Type="http://schemas.openxmlformats.org/officeDocument/2006/relationships/hyperlink" Target="https://laws-lois.justice.gc.ca/eng/acts/C-46/page-126.html" TargetMode="External"/><Relationship Id="rId15" Type="http://schemas.openxmlformats.org/officeDocument/2006/relationships/hyperlink" Target="https://laws-lois.justice.gc.ca/eng/acts/C-46/section-515.html" TargetMode="External"/><Relationship Id="rId16" Type="http://schemas.openxmlformats.org/officeDocument/2006/relationships/hyperlink" Target="https://www.justice.gc.ca/eng/cj-jp/bail-caution/index.html" TargetMode="External"/><Relationship Id="rId17" Type="http://schemas.openxmlformats.org/officeDocument/2006/relationships/hyperlink" Target="https://www150.statcan.gc.ca/t1/tbl1/en/tv.action?pid=3510001301" TargetMode="External"/><Relationship Id="rId18" Type="http://schemas.openxmlformats.org/officeDocument/2006/relationships/hyperlink" Target="https://www150.statcan.gc.ca/t1/tbl1/en/tv.action?pid=3510015401" TargetMode="External"/><Relationship Id="rId19" Type="http://schemas.openxmlformats.org/officeDocument/2006/relationships/hyperlink" Target="https://www.publicsafety.gc.ca/cnt/rsrcs/pblctns/ccrso-2024/index-en.aspx" TargetMode="External"/><Relationship Id="rId20" Type="http://schemas.openxmlformats.org/officeDocument/2006/relationships/hyperlink" Target="https://www.canada.ca/en/correctional-service/corporate/transparency/reporting/departmental-results-reports/2024-2025.html" TargetMode="External"/><Relationship Id="rId21" Type="http://schemas.openxmlformats.org/officeDocument/2006/relationships/hyperlink" Target="https://www.canada.ca/en/correctional-service/corporate/transparency/reporting/financial-statements/2025-03-31.html" TargetMode="External"/><Relationship Id="rId22" Type="http://schemas.openxmlformats.org/officeDocument/2006/relationships/hyperlink" Target="https://www.bcbudget.gov.bc.ca/Annual_Reports/2024_2025/pdf/ministry/pssg.pdf" TargetMode="External"/><Relationship Id="rId23" Type="http://schemas.openxmlformats.org/officeDocument/2006/relationships/hyperlink" Target="https://www2.gov.bc.ca/gov/content/justice/criminal-justice/corrections/correctional-centres" TargetMode="External"/><Relationship Id="rId24" Type="http://schemas.openxmlformats.org/officeDocument/2006/relationships/hyperlink" Target="https://www.journals.uchicago.edu/doi/10.1086/715100" TargetMode="External"/><Relationship Id="rId25" Type="http://schemas.openxmlformats.org/officeDocument/2006/relationships/hyperlink" Target="https://www.campbellcollaboration.org/review/custodial-vs-non-custodial-sanctions-re-offending-effects/" TargetMode="External"/><Relationship Id="rId26" Type="http://schemas.openxmlformats.org/officeDocument/2006/relationships/hyperlink" Target="https://researchportalplus.anu.edu.au/en/publications/a-systematic-review-of-the-effectiveness-of-the-electronic-monito/" TargetMode="External"/><Relationship Id="rId27" Type="http://schemas.openxmlformats.org/officeDocument/2006/relationships/hyperlink" Target="https://www.canada.ca/en/correctional-service/corporate/library/research/glance/428.html" TargetMode="External"/><Relationship Id="rId28" Type="http://schemas.openxmlformats.org/officeDocument/2006/relationships/hyperlink" Target="https://publications.gc.ca/collections/collection_2019/scc-csc/PS83-3-430-eng.pdf" TargetMode="External"/><Relationship Id="rId29" Type="http://schemas.openxmlformats.org/officeDocument/2006/relationships/hyperlink" Target="https://www.publicsafety.gc.ca/cnt/rsrcs/pblctns/lctrnc-mntrng-cnd/index-en.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Custody First: A Safer, Less Costly Alternative to Routine Incarceration</dc:title>
  <dc:subject>A British Columbia and Canadian policy framework for replacing eligible jail custody with supervised community custody.</dc:subject>
  <dc:creator/>
  <cp:keywords>British Columbia, justice policy, corrections, courts, public administration</cp:keywords>
  <dc:description>Prepared for public-policy discussion. Not legal advice.</dc:description>
  <cp:lastModifiedBy/>
  <cp:revision>1</cp:revision>
  <dcterms:created xsi:type="dcterms:W3CDTF">2013-12-23T23:15:00Z</dcterms:created>
  <dcterms:modified xsi:type="dcterms:W3CDTF">2013-12-23T23:15:00Z</dcterms:modified>
  <cp:category/>
</cp:coreProperties>
</file>